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4DB27" w14:textId="77777777" w:rsidR="00E324D0" w:rsidRPr="00910DBF" w:rsidRDefault="005304E6" w:rsidP="008E7A7E">
      <w:pPr>
        <w:spacing w:after="0" w:line="240" w:lineRule="auto"/>
        <w:jc w:val="center"/>
        <w:rPr>
          <w:rFonts w:ascii="Times New Roman" w:hAnsi="Times New Roman" w:cs="Times New Roman"/>
          <w:b/>
          <w:sz w:val="24"/>
          <w:szCs w:val="24"/>
        </w:rPr>
      </w:pPr>
      <w:r w:rsidRPr="00910DBF">
        <w:rPr>
          <w:rFonts w:ascii="Times New Roman" w:hAnsi="Times New Roman" w:cs="Times New Roman"/>
          <w:b/>
          <w:sz w:val="24"/>
          <w:szCs w:val="24"/>
        </w:rPr>
        <w:t>Capacity</w:t>
      </w:r>
      <w:r w:rsidR="008E7A7E" w:rsidRPr="00910DBF">
        <w:rPr>
          <w:rFonts w:ascii="Times New Roman" w:hAnsi="Times New Roman" w:cs="Times New Roman"/>
          <w:b/>
          <w:sz w:val="24"/>
          <w:szCs w:val="24"/>
        </w:rPr>
        <w:t xml:space="preserve"> Evidence In </w:t>
      </w:r>
      <w:r w:rsidR="00040A16">
        <w:rPr>
          <w:rFonts w:ascii="Times New Roman" w:hAnsi="Times New Roman" w:cs="Times New Roman"/>
          <w:b/>
          <w:sz w:val="24"/>
          <w:szCs w:val="24"/>
        </w:rPr>
        <w:t>Will</w:t>
      </w:r>
      <w:r w:rsidR="008E7A7E" w:rsidRPr="00910DBF">
        <w:rPr>
          <w:rFonts w:ascii="Times New Roman" w:hAnsi="Times New Roman" w:cs="Times New Roman"/>
          <w:b/>
          <w:sz w:val="24"/>
          <w:szCs w:val="24"/>
        </w:rPr>
        <w:t xml:space="preserve"> and Trust Contests</w:t>
      </w:r>
    </w:p>
    <w:p w14:paraId="36A99087" w14:textId="77777777" w:rsidR="008E7A7E" w:rsidRDefault="008E7A7E" w:rsidP="008E7A7E">
      <w:pPr>
        <w:spacing w:after="0" w:line="240" w:lineRule="auto"/>
        <w:jc w:val="center"/>
        <w:rPr>
          <w:rFonts w:ascii="Times New Roman" w:hAnsi="Times New Roman" w:cs="Times New Roman"/>
          <w:sz w:val="24"/>
          <w:szCs w:val="24"/>
        </w:rPr>
      </w:pPr>
    </w:p>
    <w:p w14:paraId="221A6A94" w14:textId="77777777" w:rsidR="008E7A7E" w:rsidRPr="00C56CF8" w:rsidRDefault="00FC5093" w:rsidP="0082663F">
      <w:pPr>
        <w:pStyle w:val="ListParagraph"/>
        <w:numPr>
          <w:ilvl w:val="0"/>
          <w:numId w:val="1"/>
        </w:numPr>
        <w:spacing w:after="0" w:line="240" w:lineRule="auto"/>
        <w:rPr>
          <w:rFonts w:ascii="Times New Roman" w:hAnsi="Times New Roman" w:cs="Times New Roman"/>
          <w:b/>
          <w:sz w:val="24"/>
          <w:szCs w:val="24"/>
          <w:u w:val="single"/>
        </w:rPr>
      </w:pPr>
      <w:r w:rsidRPr="00C56CF8">
        <w:rPr>
          <w:rFonts w:ascii="Times New Roman" w:hAnsi="Times New Roman" w:cs="Times New Roman"/>
          <w:b/>
          <w:sz w:val="24"/>
          <w:szCs w:val="24"/>
          <w:u w:val="single"/>
        </w:rPr>
        <w:t>INTRODUCTION</w:t>
      </w:r>
    </w:p>
    <w:p w14:paraId="6A7779F1" w14:textId="77777777" w:rsidR="008E7A7E" w:rsidRDefault="008E7A7E" w:rsidP="008E7A7E">
      <w:pPr>
        <w:spacing w:after="0" w:line="240" w:lineRule="auto"/>
        <w:rPr>
          <w:rFonts w:ascii="Times New Roman" w:hAnsi="Times New Roman" w:cs="Times New Roman"/>
          <w:sz w:val="24"/>
          <w:szCs w:val="24"/>
          <w:u w:val="single"/>
        </w:rPr>
      </w:pPr>
    </w:p>
    <w:p w14:paraId="048E0C03" w14:textId="77777777" w:rsidR="008E7A7E" w:rsidRDefault="008E7A7E" w:rsidP="00022F26">
      <w:pPr>
        <w:spacing w:after="0" w:line="480" w:lineRule="auto"/>
        <w:rPr>
          <w:rFonts w:ascii="Times New Roman" w:hAnsi="Times New Roman" w:cs="Times New Roman"/>
          <w:sz w:val="24"/>
          <w:szCs w:val="24"/>
        </w:rPr>
      </w:pPr>
      <w:r>
        <w:rPr>
          <w:rFonts w:ascii="Times New Roman" w:hAnsi="Times New Roman" w:cs="Times New Roman"/>
          <w:sz w:val="24"/>
          <w:szCs w:val="24"/>
        </w:rPr>
        <w:tab/>
        <w:t>Litigation contesting the validity</w:t>
      </w:r>
      <w:r w:rsidR="00C82B0F">
        <w:rPr>
          <w:rFonts w:ascii="Times New Roman" w:hAnsi="Times New Roman" w:cs="Times New Roman"/>
          <w:sz w:val="24"/>
          <w:szCs w:val="24"/>
        </w:rPr>
        <w:t xml:space="preserve"> of wills and trusts on grounds of alleged incapacity and/or undue influence has</w:t>
      </w:r>
      <w:r>
        <w:rPr>
          <w:rFonts w:ascii="Times New Roman" w:hAnsi="Times New Roman" w:cs="Times New Roman"/>
          <w:sz w:val="24"/>
          <w:szCs w:val="24"/>
        </w:rPr>
        <w:t xml:space="preserve"> been on the rise for ma</w:t>
      </w:r>
      <w:r w:rsidR="005304E6">
        <w:rPr>
          <w:rFonts w:ascii="Times New Roman" w:hAnsi="Times New Roman" w:cs="Times New Roman"/>
          <w:sz w:val="24"/>
          <w:szCs w:val="24"/>
        </w:rPr>
        <w:t xml:space="preserve">ny reasons, </w:t>
      </w:r>
      <w:r w:rsidR="00516C07">
        <w:rPr>
          <w:rFonts w:ascii="Times New Roman" w:hAnsi="Times New Roman" w:cs="Times New Roman"/>
          <w:sz w:val="24"/>
          <w:szCs w:val="24"/>
        </w:rPr>
        <w:t>including “the growing number of Americans who are living through the age of risk for dementing illnesses, such as Alzheimer’</w:t>
      </w:r>
      <w:r w:rsidR="00FF1434">
        <w:rPr>
          <w:rFonts w:ascii="Times New Roman" w:hAnsi="Times New Roman" w:cs="Times New Roman"/>
          <w:sz w:val="24"/>
          <w:szCs w:val="24"/>
        </w:rPr>
        <w:t>s D</w:t>
      </w:r>
      <w:r w:rsidR="00516C07">
        <w:rPr>
          <w:rFonts w:ascii="Times New Roman" w:hAnsi="Times New Roman" w:cs="Times New Roman"/>
          <w:sz w:val="24"/>
          <w:szCs w:val="24"/>
        </w:rPr>
        <w:t>isease</w:t>
      </w:r>
      <w:r w:rsidR="00FF1434">
        <w:rPr>
          <w:rFonts w:ascii="Times New Roman" w:hAnsi="Times New Roman" w:cs="Times New Roman"/>
          <w:sz w:val="24"/>
          <w:szCs w:val="24"/>
        </w:rPr>
        <w:t xml:space="preserve">,” Sparr, </w:t>
      </w:r>
      <w:r w:rsidR="00FF1434">
        <w:rPr>
          <w:rFonts w:ascii="Times New Roman" w:hAnsi="Times New Roman" w:cs="Times New Roman"/>
          <w:i/>
          <w:sz w:val="24"/>
          <w:szCs w:val="24"/>
        </w:rPr>
        <w:t>Assessing Competency</w:t>
      </w:r>
      <w:r w:rsidR="00C866FD">
        <w:rPr>
          <w:rFonts w:ascii="Times New Roman" w:hAnsi="Times New Roman" w:cs="Times New Roman"/>
          <w:i/>
          <w:sz w:val="24"/>
          <w:szCs w:val="24"/>
        </w:rPr>
        <w:t xml:space="preserve"> To Make A Will</w:t>
      </w:r>
      <w:r w:rsidR="00C866FD">
        <w:rPr>
          <w:rFonts w:ascii="Times New Roman" w:hAnsi="Times New Roman" w:cs="Times New Roman"/>
          <w:sz w:val="24"/>
          <w:szCs w:val="24"/>
        </w:rPr>
        <w:t xml:space="preserve">, Am. J. Psychiatry, 149:169-174 (1992), as well as the prevalence of blended </w:t>
      </w:r>
      <w:r w:rsidR="005B4DF8">
        <w:rPr>
          <w:rFonts w:ascii="Times New Roman" w:hAnsi="Times New Roman" w:cs="Times New Roman"/>
          <w:sz w:val="24"/>
          <w:szCs w:val="24"/>
        </w:rPr>
        <w:t xml:space="preserve">and geographically dispersed </w:t>
      </w:r>
      <w:r w:rsidR="00C866FD">
        <w:rPr>
          <w:rFonts w:ascii="Times New Roman" w:hAnsi="Times New Roman" w:cs="Times New Roman"/>
          <w:sz w:val="24"/>
          <w:szCs w:val="24"/>
        </w:rPr>
        <w:t>families.</w:t>
      </w:r>
      <w:r w:rsidR="003C01AE">
        <w:rPr>
          <w:rFonts w:ascii="Times New Roman" w:hAnsi="Times New Roman" w:cs="Times New Roman"/>
          <w:sz w:val="24"/>
          <w:szCs w:val="24"/>
        </w:rPr>
        <w:t xml:space="preserve">  The cases present common factual scenarios.</w:t>
      </w:r>
      <w:r w:rsidR="00C866FD">
        <w:rPr>
          <w:rFonts w:ascii="Times New Roman" w:hAnsi="Times New Roman" w:cs="Times New Roman"/>
          <w:sz w:val="24"/>
          <w:szCs w:val="24"/>
        </w:rPr>
        <w:t xml:space="preserve">  </w:t>
      </w:r>
      <w:r w:rsidR="007B4B0A">
        <w:rPr>
          <w:rFonts w:ascii="Times New Roman" w:hAnsi="Times New Roman" w:cs="Times New Roman"/>
          <w:sz w:val="24"/>
          <w:szCs w:val="24"/>
        </w:rPr>
        <w:t>According to one study:</w:t>
      </w:r>
    </w:p>
    <w:p w14:paraId="586F936C" w14:textId="77777777" w:rsidR="007B4B0A" w:rsidRDefault="00C56CF8" w:rsidP="00C56CF8">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The typical profile for </w:t>
      </w:r>
      <w:r w:rsidR="004F5C8D">
        <w:rPr>
          <w:rFonts w:ascii="Times New Roman" w:hAnsi="Times New Roman" w:cs="Times New Roman"/>
          <w:sz w:val="24"/>
          <w:szCs w:val="24"/>
        </w:rPr>
        <w:t>retrospective</w:t>
      </w:r>
      <w:r>
        <w:rPr>
          <w:rFonts w:ascii="Times New Roman" w:hAnsi="Times New Roman" w:cs="Times New Roman"/>
          <w:sz w:val="24"/>
          <w:szCs w:val="24"/>
        </w:rPr>
        <w:t xml:space="preserve"> challenges to testamentary capacity included a radical change from a </w:t>
      </w:r>
      <w:r w:rsidR="004F5C8D">
        <w:rPr>
          <w:rFonts w:ascii="Times New Roman" w:hAnsi="Times New Roman" w:cs="Times New Roman"/>
          <w:sz w:val="24"/>
          <w:szCs w:val="24"/>
        </w:rPr>
        <w:t>previous</w:t>
      </w:r>
      <w:r>
        <w:rPr>
          <w:rFonts w:ascii="Times New Roman" w:hAnsi="Times New Roman" w:cs="Times New Roman"/>
          <w:sz w:val="24"/>
          <w:szCs w:val="24"/>
        </w:rPr>
        <w:t xml:space="preserve"> Will (72%), where undue influence was alleged (56%), in a testator with no biological children (52%), who executed the Will less than </w:t>
      </w:r>
      <w:r w:rsidR="004F5C8D">
        <w:rPr>
          <w:rFonts w:ascii="Times New Roman" w:hAnsi="Times New Roman" w:cs="Times New Roman"/>
          <w:sz w:val="24"/>
          <w:szCs w:val="24"/>
        </w:rPr>
        <w:t>a year</w:t>
      </w:r>
      <w:r>
        <w:rPr>
          <w:rFonts w:ascii="Times New Roman" w:hAnsi="Times New Roman" w:cs="Times New Roman"/>
          <w:sz w:val="24"/>
          <w:szCs w:val="24"/>
        </w:rPr>
        <w:t xml:space="preserve"> prior to death (48%).  Co-morbid conditions were dementia (40%), alcohol abuse (28%) and other neurological/psychiatric conditions (28%).</w:t>
      </w:r>
    </w:p>
    <w:p w14:paraId="4B778940" w14:textId="77777777" w:rsidR="00C56CF8" w:rsidRDefault="00C56CF8" w:rsidP="00C56CF8">
      <w:pPr>
        <w:spacing w:after="0" w:line="240" w:lineRule="auto"/>
        <w:rPr>
          <w:rFonts w:ascii="Times New Roman" w:hAnsi="Times New Roman" w:cs="Times New Roman"/>
          <w:sz w:val="24"/>
          <w:szCs w:val="24"/>
        </w:rPr>
      </w:pPr>
    </w:p>
    <w:p w14:paraId="43D92F1F" w14:textId="77777777" w:rsidR="0082663F" w:rsidRDefault="007B4B0A" w:rsidP="00C56CF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Shulman, </w:t>
      </w:r>
      <w:r>
        <w:rPr>
          <w:rFonts w:ascii="Times New Roman" w:hAnsi="Times New Roman" w:cs="Times New Roman"/>
          <w:i/>
          <w:sz w:val="24"/>
          <w:szCs w:val="24"/>
        </w:rPr>
        <w:t xml:space="preserve">Psychiatric Issues in Retrospective Challenges of Testamentary Capacity, </w:t>
      </w:r>
      <w:r>
        <w:rPr>
          <w:rFonts w:ascii="Times New Roman" w:hAnsi="Times New Roman" w:cs="Times New Roman"/>
          <w:sz w:val="24"/>
          <w:szCs w:val="24"/>
        </w:rPr>
        <w:t>Int. J. Geriatr. Psychiatry</w:t>
      </w:r>
      <w:r w:rsidR="009C0938">
        <w:rPr>
          <w:rFonts w:ascii="Times New Roman" w:hAnsi="Times New Roman" w:cs="Times New Roman"/>
          <w:sz w:val="24"/>
          <w:szCs w:val="24"/>
        </w:rPr>
        <w:t xml:space="preserve">, </w:t>
      </w:r>
      <w:r w:rsidR="0033750F">
        <w:rPr>
          <w:rFonts w:ascii="Times New Roman" w:hAnsi="Times New Roman" w:cs="Times New Roman"/>
          <w:sz w:val="24"/>
          <w:szCs w:val="24"/>
        </w:rPr>
        <w:t>20:</w:t>
      </w:r>
      <w:r w:rsidR="005B4DF8">
        <w:rPr>
          <w:rFonts w:ascii="Times New Roman" w:hAnsi="Times New Roman" w:cs="Times New Roman"/>
          <w:sz w:val="24"/>
          <w:szCs w:val="24"/>
        </w:rPr>
        <w:t xml:space="preserve">63 (2005).  </w:t>
      </w:r>
      <w:r w:rsidR="003C01AE">
        <w:rPr>
          <w:rFonts w:ascii="Times New Roman" w:hAnsi="Times New Roman" w:cs="Times New Roman"/>
          <w:sz w:val="24"/>
          <w:szCs w:val="24"/>
        </w:rPr>
        <w:t xml:space="preserve">In almost all cases, the </w:t>
      </w:r>
      <w:r w:rsidR="00E263BA">
        <w:rPr>
          <w:rFonts w:ascii="Times New Roman" w:hAnsi="Times New Roman" w:cs="Times New Roman"/>
          <w:sz w:val="24"/>
          <w:szCs w:val="24"/>
        </w:rPr>
        <w:t xml:space="preserve">capacity of the </w:t>
      </w:r>
      <w:r w:rsidR="003C01AE">
        <w:rPr>
          <w:rFonts w:ascii="Times New Roman" w:hAnsi="Times New Roman" w:cs="Times New Roman"/>
          <w:sz w:val="24"/>
          <w:szCs w:val="24"/>
        </w:rPr>
        <w:t>testator/settlor is a</w:t>
      </w:r>
      <w:r w:rsidR="00E263BA">
        <w:rPr>
          <w:rFonts w:ascii="Times New Roman" w:hAnsi="Times New Roman" w:cs="Times New Roman"/>
          <w:sz w:val="24"/>
          <w:szCs w:val="24"/>
        </w:rPr>
        <w:t xml:space="preserve"> critical</w:t>
      </w:r>
      <w:r w:rsidR="003C01AE">
        <w:rPr>
          <w:rFonts w:ascii="Times New Roman" w:hAnsi="Times New Roman" w:cs="Times New Roman"/>
          <w:sz w:val="24"/>
          <w:szCs w:val="24"/>
        </w:rPr>
        <w:t xml:space="preserve"> issue.  </w:t>
      </w:r>
    </w:p>
    <w:p w14:paraId="7DF18E0D" w14:textId="77777777" w:rsidR="00C56CF8" w:rsidRDefault="00C56CF8" w:rsidP="00C56CF8">
      <w:pPr>
        <w:spacing w:after="0" w:line="240" w:lineRule="auto"/>
        <w:rPr>
          <w:rFonts w:ascii="Times New Roman" w:hAnsi="Times New Roman" w:cs="Times New Roman"/>
          <w:sz w:val="24"/>
          <w:szCs w:val="24"/>
        </w:rPr>
      </w:pPr>
    </w:p>
    <w:p w14:paraId="36E3881A" w14:textId="77777777" w:rsidR="00C82B0F" w:rsidRPr="00C56CF8" w:rsidRDefault="00FC5093" w:rsidP="0082663F">
      <w:pPr>
        <w:pStyle w:val="ListParagraph"/>
        <w:numPr>
          <w:ilvl w:val="0"/>
          <w:numId w:val="1"/>
        </w:numPr>
        <w:spacing w:after="0" w:line="480" w:lineRule="auto"/>
        <w:rPr>
          <w:rFonts w:ascii="Times New Roman" w:hAnsi="Times New Roman" w:cs="Times New Roman"/>
          <w:b/>
          <w:sz w:val="24"/>
          <w:szCs w:val="24"/>
        </w:rPr>
      </w:pPr>
      <w:r w:rsidRPr="00C56CF8">
        <w:rPr>
          <w:rFonts w:ascii="Times New Roman" w:hAnsi="Times New Roman" w:cs="Times New Roman"/>
          <w:b/>
          <w:sz w:val="24"/>
          <w:szCs w:val="24"/>
          <w:u w:val="single"/>
        </w:rPr>
        <w:t>CAPACITY STANDARDS</w:t>
      </w:r>
    </w:p>
    <w:p w14:paraId="51E91F31" w14:textId="77777777" w:rsidR="00F37D46" w:rsidRDefault="0082663F" w:rsidP="009E3B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F37D46">
        <w:rPr>
          <w:rFonts w:ascii="Times New Roman" w:hAnsi="Times New Roman" w:cs="Times New Roman"/>
          <w:sz w:val="24"/>
          <w:szCs w:val="24"/>
        </w:rPr>
        <w:t xml:space="preserve">To be valid, a will must be </w:t>
      </w:r>
      <w:r w:rsidR="0033750F">
        <w:rPr>
          <w:rFonts w:ascii="Times New Roman" w:hAnsi="Times New Roman" w:cs="Times New Roman"/>
          <w:sz w:val="24"/>
          <w:szCs w:val="24"/>
        </w:rPr>
        <w:t xml:space="preserve">signed with a </w:t>
      </w:r>
      <w:r w:rsidR="006D5FBB">
        <w:rPr>
          <w:rFonts w:ascii="Times New Roman" w:hAnsi="Times New Roman" w:cs="Times New Roman"/>
          <w:sz w:val="24"/>
          <w:szCs w:val="24"/>
        </w:rPr>
        <w:t>“sound mind,”</w:t>
      </w:r>
      <w:r w:rsidR="0033750F">
        <w:rPr>
          <w:rFonts w:ascii="Times New Roman" w:hAnsi="Times New Roman" w:cs="Times New Roman"/>
          <w:sz w:val="24"/>
          <w:szCs w:val="24"/>
        </w:rPr>
        <w:t xml:space="preserve"> M</w:t>
      </w:r>
      <w:r w:rsidR="00C15452">
        <w:rPr>
          <w:rFonts w:ascii="Times New Roman" w:hAnsi="Times New Roman" w:cs="Times New Roman"/>
          <w:sz w:val="24"/>
          <w:szCs w:val="24"/>
        </w:rPr>
        <w:t xml:space="preserve">ass. </w:t>
      </w:r>
      <w:r w:rsidR="0033750F">
        <w:rPr>
          <w:rFonts w:ascii="Times New Roman" w:hAnsi="Times New Roman" w:cs="Times New Roman"/>
          <w:sz w:val="24"/>
          <w:szCs w:val="24"/>
        </w:rPr>
        <w:t>G</w:t>
      </w:r>
      <w:r w:rsidR="00C15452">
        <w:rPr>
          <w:rFonts w:ascii="Times New Roman" w:hAnsi="Times New Roman" w:cs="Times New Roman"/>
          <w:sz w:val="24"/>
          <w:szCs w:val="24"/>
        </w:rPr>
        <w:t xml:space="preserve">en. </w:t>
      </w:r>
      <w:r w:rsidR="0033750F">
        <w:rPr>
          <w:rFonts w:ascii="Times New Roman" w:hAnsi="Times New Roman" w:cs="Times New Roman"/>
          <w:sz w:val="24"/>
          <w:szCs w:val="24"/>
        </w:rPr>
        <w:t>L</w:t>
      </w:r>
      <w:r w:rsidR="00C15452">
        <w:rPr>
          <w:rFonts w:ascii="Times New Roman" w:hAnsi="Times New Roman" w:cs="Times New Roman"/>
          <w:sz w:val="24"/>
          <w:szCs w:val="24"/>
        </w:rPr>
        <w:t>aws</w:t>
      </w:r>
      <w:r w:rsidR="0033750F">
        <w:rPr>
          <w:rFonts w:ascii="Times New Roman" w:hAnsi="Times New Roman" w:cs="Times New Roman"/>
          <w:sz w:val="24"/>
          <w:szCs w:val="24"/>
        </w:rPr>
        <w:t xml:space="preserve"> c</w:t>
      </w:r>
      <w:r w:rsidR="00C15452">
        <w:rPr>
          <w:rFonts w:ascii="Times New Roman" w:hAnsi="Times New Roman" w:cs="Times New Roman"/>
          <w:sz w:val="24"/>
          <w:szCs w:val="24"/>
        </w:rPr>
        <w:t>h</w:t>
      </w:r>
      <w:r w:rsidR="0033750F">
        <w:rPr>
          <w:rFonts w:ascii="Times New Roman" w:hAnsi="Times New Roman" w:cs="Times New Roman"/>
          <w:sz w:val="24"/>
          <w:szCs w:val="24"/>
        </w:rPr>
        <w:t>. 190B</w:t>
      </w:r>
      <w:r w:rsidR="00C15452">
        <w:rPr>
          <w:rFonts w:ascii="Times New Roman" w:hAnsi="Times New Roman" w:cs="Times New Roman"/>
          <w:sz w:val="24"/>
          <w:szCs w:val="24"/>
        </w:rPr>
        <w:t xml:space="preserve"> </w:t>
      </w:r>
      <w:r w:rsidR="00C15452" w:rsidRPr="00C15452">
        <w:rPr>
          <w:rFonts w:ascii="Times New Roman" w:hAnsi="Times New Roman" w:cs="Times New Roman"/>
          <w:sz w:val="24"/>
          <w:szCs w:val="24"/>
        </w:rPr>
        <w:t>§ </w:t>
      </w:r>
      <w:r w:rsidR="0033750F">
        <w:rPr>
          <w:rFonts w:ascii="Times New Roman" w:hAnsi="Times New Roman" w:cs="Times New Roman"/>
          <w:sz w:val="24"/>
          <w:szCs w:val="24"/>
        </w:rPr>
        <w:t>2-501,</w:t>
      </w:r>
      <w:r w:rsidR="006D5FBB">
        <w:rPr>
          <w:rFonts w:ascii="Times New Roman" w:hAnsi="Times New Roman" w:cs="Times New Roman"/>
          <w:sz w:val="24"/>
          <w:szCs w:val="24"/>
        </w:rPr>
        <w:t xml:space="preserve">  and a trust must be created with “capacity</w:t>
      </w:r>
      <w:r w:rsidR="003C01AE">
        <w:rPr>
          <w:rFonts w:ascii="Times New Roman" w:hAnsi="Times New Roman" w:cs="Times New Roman"/>
          <w:sz w:val="24"/>
          <w:szCs w:val="24"/>
        </w:rPr>
        <w:t>,</w:t>
      </w:r>
      <w:r w:rsidR="006D5FBB">
        <w:rPr>
          <w:rFonts w:ascii="Times New Roman" w:hAnsi="Times New Roman" w:cs="Times New Roman"/>
          <w:sz w:val="24"/>
          <w:szCs w:val="24"/>
        </w:rPr>
        <w:t xml:space="preserve">” </w:t>
      </w:r>
      <w:r w:rsidR="00C15452">
        <w:rPr>
          <w:rFonts w:ascii="Times New Roman" w:hAnsi="Times New Roman" w:cs="Times New Roman"/>
          <w:sz w:val="24"/>
          <w:szCs w:val="24"/>
        </w:rPr>
        <w:t xml:space="preserve">Mass. Gen. Laws ch. 203E </w:t>
      </w:r>
      <w:r w:rsidR="00C15452" w:rsidRPr="00C15452">
        <w:rPr>
          <w:rFonts w:ascii="Times New Roman" w:hAnsi="Times New Roman" w:cs="Times New Roman"/>
          <w:sz w:val="24"/>
          <w:szCs w:val="24"/>
        </w:rPr>
        <w:t>§ </w:t>
      </w:r>
      <w:r w:rsidR="00C82B0F">
        <w:rPr>
          <w:rFonts w:ascii="Times New Roman" w:hAnsi="Times New Roman" w:cs="Times New Roman"/>
          <w:sz w:val="24"/>
          <w:szCs w:val="24"/>
        </w:rPr>
        <w:t>402, with neither statute defining the capacity required.</w:t>
      </w:r>
      <w:r>
        <w:rPr>
          <w:rFonts w:ascii="Times New Roman" w:hAnsi="Times New Roman" w:cs="Times New Roman"/>
          <w:sz w:val="24"/>
          <w:szCs w:val="24"/>
        </w:rPr>
        <w:t xml:space="preserve">  For a will or a revocable trust executed </w:t>
      </w:r>
      <w:r w:rsidR="005B4DF8">
        <w:rPr>
          <w:rFonts w:ascii="Times New Roman" w:hAnsi="Times New Roman" w:cs="Times New Roman"/>
          <w:sz w:val="24"/>
          <w:szCs w:val="24"/>
        </w:rPr>
        <w:t xml:space="preserve">contemporaneously </w:t>
      </w:r>
      <w:r>
        <w:rPr>
          <w:rFonts w:ascii="Times New Roman" w:hAnsi="Times New Roman" w:cs="Times New Roman"/>
          <w:sz w:val="24"/>
          <w:szCs w:val="24"/>
        </w:rPr>
        <w:t xml:space="preserve">with a </w:t>
      </w:r>
      <w:r w:rsidR="00A034BD">
        <w:rPr>
          <w:rFonts w:ascii="Times New Roman" w:hAnsi="Times New Roman" w:cs="Times New Roman"/>
          <w:sz w:val="24"/>
          <w:szCs w:val="24"/>
        </w:rPr>
        <w:t xml:space="preserve">pour over </w:t>
      </w:r>
      <w:r>
        <w:rPr>
          <w:rFonts w:ascii="Times New Roman" w:hAnsi="Times New Roman" w:cs="Times New Roman"/>
          <w:sz w:val="24"/>
          <w:szCs w:val="24"/>
        </w:rPr>
        <w:t xml:space="preserve">will, testamentary capacity is the governing standard.  For an </w:t>
      </w:r>
      <w:r w:rsidR="005B4DF8">
        <w:rPr>
          <w:rFonts w:ascii="Times New Roman" w:hAnsi="Times New Roman" w:cs="Times New Roman"/>
          <w:i/>
          <w:sz w:val="24"/>
          <w:szCs w:val="24"/>
        </w:rPr>
        <w:t xml:space="preserve">inter vivos </w:t>
      </w:r>
      <w:r>
        <w:rPr>
          <w:rFonts w:ascii="Times New Roman" w:hAnsi="Times New Roman" w:cs="Times New Roman"/>
          <w:sz w:val="24"/>
          <w:szCs w:val="24"/>
        </w:rPr>
        <w:t>irrevocable trust</w:t>
      </w:r>
      <w:r w:rsidR="000A76B6">
        <w:rPr>
          <w:rFonts w:ascii="Times New Roman" w:hAnsi="Times New Roman" w:cs="Times New Roman"/>
          <w:sz w:val="24"/>
          <w:szCs w:val="24"/>
        </w:rPr>
        <w:t>, the</w:t>
      </w:r>
      <w:r w:rsidR="005B4DF8">
        <w:rPr>
          <w:rFonts w:ascii="Times New Roman" w:hAnsi="Times New Roman" w:cs="Times New Roman"/>
          <w:sz w:val="24"/>
          <w:szCs w:val="24"/>
        </w:rPr>
        <w:t xml:space="preserve"> </w:t>
      </w:r>
      <w:r>
        <w:rPr>
          <w:rFonts w:ascii="Times New Roman" w:hAnsi="Times New Roman" w:cs="Times New Roman"/>
          <w:sz w:val="24"/>
          <w:szCs w:val="24"/>
        </w:rPr>
        <w:t xml:space="preserve">law is </w:t>
      </w:r>
      <w:r w:rsidR="00433761">
        <w:rPr>
          <w:rFonts w:ascii="Times New Roman" w:hAnsi="Times New Roman" w:cs="Times New Roman"/>
          <w:sz w:val="24"/>
          <w:szCs w:val="24"/>
        </w:rPr>
        <w:t>unsettled a</w:t>
      </w:r>
      <w:r w:rsidR="000A76B6">
        <w:rPr>
          <w:rFonts w:ascii="Times New Roman" w:hAnsi="Times New Roman" w:cs="Times New Roman"/>
          <w:sz w:val="24"/>
          <w:szCs w:val="24"/>
        </w:rPr>
        <w:t xml:space="preserve">s to whether the standard is testamentary or contractual capacity.  </w:t>
      </w:r>
      <w:r w:rsidR="003C01AE">
        <w:rPr>
          <w:rFonts w:ascii="Times New Roman" w:hAnsi="Times New Roman" w:cs="Times New Roman"/>
          <w:sz w:val="24"/>
          <w:szCs w:val="24"/>
        </w:rPr>
        <w:t>As explained below,</w:t>
      </w:r>
      <w:r w:rsidR="000A76B6">
        <w:rPr>
          <w:rFonts w:ascii="Times New Roman" w:hAnsi="Times New Roman" w:cs="Times New Roman"/>
          <w:sz w:val="24"/>
          <w:szCs w:val="24"/>
        </w:rPr>
        <w:t xml:space="preserve"> courts </w:t>
      </w:r>
      <w:r w:rsidR="00432CBF">
        <w:rPr>
          <w:rFonts w:ascii="Times New Roman" w:hAnsi="Times New Roman" w:cs="Times New Roman"/>
          <w:sz w:val="24"/>
          <w:szCs w:val="24"/>
        </w:rPr>
        <w:t>are likely to</w:t>
      </w:r>
      <w:r w:rsidR="000A76B6">
        <w:rPr>
          <w:rFonts w:ascii="Times New Roman" w:hAnsi="Times New Roman" w:cs="Times New Roman"/>
          <w:sz w:val="24"/>
          <w:szCs w:val="24"/>
        </w:rPr>
        <w:t xml:space="preserve"> adopt the higher standard of </w:t>
      </w:r>
      <w:r w:rsidR="000A76B6">
        <w:rPr>
          <w:rFonts w:ascii="Times New Roman" w:hAnsi="Times New Roman" w:cs="Times New Roman"/>
          <w:sz w:val="24"/>
          <w:szCs w:val="24"/>
        </w:rPr>
        <w:lastRenderedPageBreak/>
        <w:t>contractual capacity</w:t>
      </w:r>
      <w:r w:rsidR="00432CBF">
        <w:rPr>
          <w:rFonts w:ascii="Times New Roman" w:hAnsi="Times New Roman" w:cs="Times New Roman"/>
          <w:sz w:val="24"/>
          <w:szCs w:val="24"/>
        </w:rPr>
        <w:t xml:space="preserve"> for irrevocable </w:t>
      </w:r>
      <w:r w:rsidR="00432CBF">
        <w:rPr>
          <w:rFonts w:ascii="Times New Roman" w:hAnsi="Times New Roman" w:cs="Times New Roman"/>
          <w:i/>
          <w:sz w:val="24"/>
          <w:szCs w:val="24"/>
        </w:rPr>
        <w:t>inter vivos</w:t>
      </w:r>
      <w:r w:rsidR="00432CBF">
        <w:rPr>
          <w:rFonts w:ascii="Times New Roman" w:hAnsi="Times New Roman" w:cs="Times New Roman"/>
          <w:sz w:val="24"/>
          <w:szCs w:val="24"/>
        </w:rPr>
        <w:t xml:space="preserve"> trusts</w:t>
      </w:r>
      <w:r w:rsidR="000A76B6">
        <w:rPr>
          <w:rFonts w:ascii="Times New Roman" w:hAnsi="Times New Roman" w:cs="Times New Roman"/>
          <w:sz w:val="24"/>
          <w:szCs w:val="24"/>
        </w:rPr>
        <w:t xml:space="preserve">, particularly </w:t>
      </w:r>
      <w:r w:rsidR="00432CBF">
        <w:rPr>
          <w:rFonts w:ascii="Times New Roman" w:hAnsi="Times New Roman" w:cs="Times New Roman"/>
          <w:sz w:val="24"/>
          <w:szCs w:val="24"/>
        </w:rPr>
        <w:t>for complex documents that have</w:t>
      </w:r>
      <w:r w:rsidR="000A76B6">
        <w:rPr>
          <w:rFonts w:ascii="Times New Roman" w:hAnsi="Times New Roman" w:cs="Times New Roman"/>
          <w:sz w:val="24"/>
          <w:szCs w:val="24"/>
        </w:rPr>
        <w:t xml:space="preserve"> significant consequences for the settlor’s financ</w:t>
      </w:r>
      <w:r w:rsidR="00432CBF">
        <w:rPr>
          <w:rFonts w:ascii="Times New Roman" w:hAnsi="Times New Roman" w:cs="Times New Roman"/>
          <w:sz w:val="24"/>
          <w:szCs w:val="24"/>
        </w:rPr>
        <w:t>es</w:t>
      </w:r>
      <w:r w:rsidR="000A76B6">
        <w:rPr>
          <w:rFonts w:ascii="Times New Roman" w:hAnsi="Times New Roman" w:cs="Times New Roman"/>
          <w:sz w:val="24"/>
          <w:szCs w:val="24"/>
        </w:rPr>
        <w:t>.</w:t>
      </w:r>
      <w:r w:rsidR="005E03A7">
        <w:rPr>
          <w:rFonts w:ascii="Times New Roman" w:hAnsi="Times New Roman" w:cs="Times New Roman"/>
          <w:sz w:val="24"/>
          <w:szCs w:val="24"/>
        </w:rPr>
        <w:t xml:space="preserve">  </w:t>
      </w:r>
    </w:p>
    <w:p w14:paraId="775E7B28" w14:textId="77777777" w:rsidR="00433761" w:rsidRPr="00C56CF8" w:rsidRDefault="00433761" w:rsidP="00042564">
      <w:pPr>
        <w:pStyle w:val="ListParagraph"/>
        <w:keepNext/>
        <w:numPr>
          <w:ilvl w:val="0"/>
          <w:numId w:val="2"/>
        </w:numPr>
        <w:spacing w:after="0" w:line="480" w:lineRule="auto"/>
        <w:rPr>
          <w:rFonts w:ascii="Times New Roman" w:hAnsi="Times New Roman" w:cs="Times New Roman"/>
          <w:b/>
          <w:sz w:val="24"/>
          <w:szCs w:val="24"/>
          <w:u w:val="single"/>
        </w:rPr>
      </w:pPr>
      <w:r w:rsidRPr="00C56CF8">
        <w:rPr>
          <w:rFonts w:ascii="Times New Roman" w:hAnsi="Times New Roman" w:cs="Times New Roman"/>
          <w:b/>
          <w:sz w:val="24"/>
          <w:szCs w:val="24"/>
          <w:u w:val="single"/>
        </w:rPr>
        <w:t>Testamentary Capacity</w:t>
      </w:r>
    </w:p>
    <w:p w14:paraId="7EA79DFF" w14:textId="77777777" w:rsidR="00042564" w:rsidRDefault="00E93AEF" w:rsidP="00E93AEF">
      <w:pPr>
        <w:keepNext/>
        <w:spacing w:after="0" w:line="480" w:lineRule="auto"/>
        <w:rPr>
          <w:rFonts w:ascii="Times New Roman" w:hAnsi="Times New Roman" w:cs="Times New Roman"/>
          <w:sz w:val="24"/>
          <w:szCs w:val="24"/>
        </w:rPr>
      </w:pPr>
      <w:r>
        <w:rPr>
          <w:rFonts w:ascii="Times New Roman" w:hAnsi="Times New Roman" w:cs="Times New Roman"/>
          <w:sz w:val="24"/>
          <w:szCs w:val="24"/>
        </w:rPr>
        <w:tab/>
        <w:t>“</w:t>
      </w:r>
      <w:r w:rsidR="00042564">
        <w:rPr>
          <w:rFonts w:ascii="Times New Roman" w:hAnsi="Times New Roman" w:cs="Times New Roman"/>
          <w:sz w:val="24"/>
          <w:szCs w:val="24"/>
        </w:rPr>
        <w:t xml:space="preserve">At the time of executing a will, the </w:t>
      </w:r>
      <w:r>
        <w:rPr>
          <w:rFonts w:ascii="Times New Roman" w:hAnsi="Times New Roman" w:cs="Times New Roman"/>
          <w:sz w:val="24"/>
          <w:szCs w:val="24"/>
        </w:rPr>
        <w:t>t</w:t>
      </w:r>
      <w:r w:rsidR="00042564">
        <w:rPr>
          <w:rFonts w:ascii="Times New Roman" w:hAnsi="Times New Roman" w:cs="Times New Roman"/>
          <w:sz w:val="24"/>
          <w:szCs w:val="24"/>
        </w:rPr>
        <w:t>estatrix must be free from delusion and understand the purpose of the will, the nature of her property, and the persons who could claim it.</w:t>
      </w:r>
      <w:r>
        <w:rPr>
          <w:rFonts w:ascii="Times New Roman" w:hAnsi="Times New Roman" w:cs="Times New Roman"/>
          <w:sz w:val="24"/>
          <w:szCs w:val="24"/>
        </w:rPr>
        <w:t xml:space="preserve">”  </w:t>
      </w:r>
      <w:r w:rsidR="00042564">
        <w:rPr>
          <w:rFonts w:ascii="Times New Roman" w:hAnsi="Times New Roman" w:cs="Times New Roman"/>
          <w:sz w:val="24"/>
          <w:szCs w:val="24"/>
          <w:u w:val="single"/>
        </w:rPr>
        <w:t>O’Rourke v. Hunter</w:t>
      </w:r>
      <w:r w:rsidR="00042564">
        <w:rPr>
          <w:rFonts w:ascii="Times New Roman" w:hAnsi="Times New Roman" w:cs="Times New Roman"/>
          <w:sz w:val="24"/>
          <w:szCs w:val="24"/>
        </w:rPr>
        <w:t xml:space="preserve">, 446 Mass. 814, 826-27 (2006).  </w:t>
      </w:r>
      <w:r>
        <w:rPr>
          <w:rFonts w:ascii="Times New Roman" w:hAnsi="Times New Roman" w:cs="Times New Roman"/>
          <w:sz w:val="24"/>
          <w:szCs w:val="24"/>
        </w:rPr>
        <w:t>The testator must be able “</w:t>
      </w:r>
      <w:r w:rsidR="004E5F3D">
        <w:rPr>
          <w:rFonts w:ascii="Times New Roman" w:hAnsi="Times New Roman" w:cs="Times New Roman"/>
          <w:sz w:val="24"/>
          <w:szCs w:val="24"/>
        </w:rPr>
        <w:t>to understand and carry in mind, in a general way, the nature and situation of his property</w:t>
      </w:r>
      <w:r w:rsidR="0060058C">
        <w:rPr>
          <w:rFonts w:ascii="Times New Roman" w:hAnsi="Times New Roman" w:cs="Times New Roman"/>
          <w:sz w:val="24"/>
          <w:szCs w:val="24"/>
        </w:rPr>
        <w:t xml:space="preserve"> and his relations to those person</w:t>
      </w:r>
      <w:r w:rsidR="00E263BA">
        <w:rPr>
          <w:rFonts w:ascii="Times New Roman" w:hAnsi="Times New Roman" w:cs="Times New Roman"/>
          <w:sz w:val="24"/>
          <w:szCs w:val="24"/>
        </w:rPr>
        <w:t>s</w:t>
      </w:r>
      <w:r w:rsidR="0060058C">
        <w:rPr>
          <w:rFonts w:ascii="Times New Roman" w:hAnsi="Times New Roman" w:cs="Times New Roman"/>
          <w:sz w:val="24"/>
          <w:szCs w:val="24"/>
        </w:rPr>
        <w:t xml:space="preserve"> who would naturally have some claim to his </w:t>
      </w:r>
      <w:r w:rsidR="004F5C8D">
        <w:rPr>
          <w:rFonts w:ascii="Times New Roman" w:hAnsi="Times New Roman" w:cs="Times New Roman"/>
          <w:sz w:val="24"/>
          <w:szCs w:val="24"/>
        </w:rPr>
        <w:t>remembrance</w:t>
      </w:r>
      <w:r w:rsidR="0060058C">
        <w:rPr>
          <w:rFonts w:ascii="Times New Roman" w:hAnsi="Times New Roman" w:cs="Times New Roman"/>
          <w:sz w:val="24"/>
          <w:szCs w:val="24"/>
        </w:rPr>
        <w:t>[,] . . . [</w:t>
      </w:r>
      <w:r w:rsidR="00E263BA">
        <w:rPr>
          <w:rFonts w:ascii="Times New Roman" w:hAnsi="Times New Roman" w:cs="Times New Roman"/>
          <w:sz w:val="24"/>
          <w:szCs w:val="24"/>
        </w:rPr>
        <w:t>be</w:t>
      </w:r>
      <w:r w:rsidR="0060058C">
        <w:rPr>
          <w:rFonts w:ascii="Times New Roman" w:hAnsi="Times New Roman" w:cs="Times New Roman"/>
          <w:sz w:val="24"/>
          <w:szCs w:val="24"/>
        </w:rPr>
        <w:t>] free from delusion which is the effect of disease or weakness and which might influence the disposition of his property[,] [a]nd . . . [</w:t>
      </w:r>
      <w:r w:rsidR="00E263BA">
        <w:rPr>
          <w:rFonts w:ascii="Times New Roman" w:hAnsi="Times New Roman" w:cs="Times New Roman"/>
          <w:sz w:val="24"/>
          <w:szCs w:val="24"/>
        </w:rPr>
        <w:t>be</w:t>
      </w:r>
      <w:r w:rsidR="0060058C">
        <w:rPr>
          <w:rFonts w:ascii="Times New Roman" w:hAnsi="Times New Roman" w:cs="Times New Roman"/>
          <w:sz w:val="24"/>
          <w:szCs w:val="24"/>
        </w:rPr>
        <w:t xml:space="preserve"> able] at a time of execution . . . to comprehend the nature of the act of making a will.”  </w:t>
      </w:r>
      <w:r w:rsidR="0060058C">
        <w:rPr>
          <w:rFonts w:ascii="Times New Roman" w:hAnsi="Times New Roman" w:cs="Times New Roman"/>
          <w:sz w:val="24"/>
          <w:szCs w:val="24"/>
          <w:u w:val="single"/>
        </w:rPr>
        <w:t>Palmer v. Palmer</w:t>
      </w:r>
      <w:r w:rsidR="0060058C">
        <w:rPr>
          <w:rFonts w:ascii="Times New Roman" w:hAnsi="Times New Roman" w:cs="Times New Roman"/>
          <w:sz w:val="24"/>
          <w:szCs w:val="24"/>
        </w:rPr>
        <w:t>, 23 </w:t>
      </w:r>
      <w:r w:rsidR="00C15452">
        <w:rPr>
          <w:rFonts w:ascii="Times New Roman" w:hAnsi="Times New Roman" w:cs="Times New Roman"/>
          <w:sz w:val="24"/>
          <w:szCs w:val="24"/>
        </w:rPr>
        <w:t>Mass. App. Ct.</w:t>
      </w:r>
      <w:r w:rsidR="0060058C">
        <w:rPr>
          <w:rFonts w:ascii="Times New Roman" w:hAnsi="Times New Roman" w:cs="Times New Roman"/>
          <w:sz w:val="24"/>
          <w:szCs w:val="24"/>
        </w:rPr>
        <w:t xml:space="preserve"> 245, 250 (1986), </w:t>
      </w:r>
      <w:r w:rsidR="0060058C">
        <w:rPr>
          <w:rFonts w:ascii="Times New Roman" w:hAnsi="Times New Roman" w:cs="Times New Roman"/>
          <w:i/>
          <w:sz w:val="24"/>
          <w:szCs w:val="24"/>
        </w:rPr>
        <w:t>quoting</w:t>
      </w:r>
      <w:r w:rsidR="0060058C">
        <w:rPr>
          <w:rFonts w:ascii="Times New Roman" w:hAnsi="Times New Roman" w:cs="Times New Roman"/>
          <w:sz w:val="24"/>
          <w:szCs w:val="24"/>
        </w:rPr>
        <w:t xml:space="preserve"> </w:t>
      </w:r>
      <w:r w:rsidR="0060058C">
        <w:rPr>
          <w:rFonts w:ascii="Times New Roman" w:hAnsi="Times New Roman" w:cs="Times New Roman"/>
          <w:sz w:val="24"/>
          <w:szCs w:val="24"/>
          <w:u w:val="single"/>
        </w:rPr>
        <w:t>Goddard v. Dupree</w:t>
      </w:r>
      <w:r w:rsidR="0060058C">
        <w:rPr>
          <w:rFonts w:ascii="Times New Roman" w:hAnsi="Times New Roman" w:cs="Times New Roman"/>
          <w:sz w:val="24"/>
          <w:szCs w:val="24"/>
        </w:rPr>
        <w:t xml:space="preserve">, </w:t>
      </w:r>
      <w:r w:rsidR="00EB0B05">
        <w:rPr>
          <w:rFonts w:ascii="Times New Roman" w:hAnsi="Times New Roman" w:cs="Times New Roman"/>
          <w:sz w:val="24"/>
          <w:szCs w:val="24"/>
        </w:rPr>
        <w:t>322 Mass. 247 (1948).</w:t>
      </w:r>
    </w:p>
    <w:p w14:paraId="7F653233" w14:textId="77777777" w:rsidR="00EB0B05" w:rsidRDefault="00EB0B05" w:rsidP="00EB0B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“Acting during a lucid interval can be a basis for executing a will.  </w:t>
      </w:r>
      <w:r w:rsidR="00E93AEF">
        <w:rPr>
          <w:rFonts w:ascii="Times New Roman" w:hAnsi="Times New Roman" w:cs="Times New Roman"/>
          <w:sz w:val="24"/>
          <w:szCs w:val="24"/>
        </w:rPr>
        <w:t>‘</w:t>
      </w:r>
      <w:r>
        <w:rPr>
          <w:rFonts w:ascii="Times New Roman" w:hAnsi="Times New Roman" w:cs="Times New Roman"/>
          <w:sz w:val="24"/>
          <w:szCs w:val="24"/>
        </w:rPr>
        <w:t>[A] person of pathologically unsound mind may possess testamentary capacity at any given time and lack it at all other times.</w:t>
      </w:r>
      <w:r w:rsidR="00E93AEF">
        <w:rPr>
          <w:rFonts w:ascii="Times New Roman" w:hAnsi="Times New Roman" w:cs="Times New Roman"/>
          <w:sz w:val="24"/>
          <w:szCs w:val="24"/>
        </w:rPr>
        <w:t>’”</w:t>
      </w:r>
      <w:r w:rsidR="00541622">
        <w:rPr>
          <w:rFonts w:ascii="Times New Roman" w:hAnsi="Times New Roman" w:cs="Times New Roman"/>
          <w:sz w:val="24"/>
          <w:szCs w:val="24"/>
        </w:rPr>
        <w:t xml:space="preserve">  </w:t>
      </w:r>
      <w:r w:rsidR="004F5C8D">
        <w:rPr>
          <w:rFonts w:ascii="Times New Roman" w:hAnsi="Times New Roman" w:cs="Times New Roman"/>
          <w:sz w:val="24"/>
          <w:szCs w:val="24"/>
          <w:u w:val="single"/>
        </w:rPr>
        <w:t>Farnum</w:t>
      </w:r>
      <w:r w:rsidR="00541622">
        <w:rPr>
          <w:rFonts w:ascii="Times New Roman" w:hAnsi="Times New Roman" w:cs="Times New Roman"/>
          <w:sz w:val="24"/>
          <w:szCs w:val="24"/>
          <w:u w:val="single"/>
        </w:rPr>
        <w:t xml:space="preserve"> v. Silvano</w:t>
      </w:r>
      <w:r w:rsidR="00541622">
        <w:rPr>
          <w:rFonts w:ascii="Times New Roman" w:hAnsi="Times New Roman" w:cs="Times New Roman"/>
          <w:sz w:val="24"/>
          <w:szCs w:val="24"/>
        </w:rPr>
        <w:t xml:space="preserve">, 27 </w:t>
      </w:r>
      <w:r w:rsidR="00C15452">
        <w:rPr>
          <w:rFonts w:ascii="Times New Roman" w:hAnsi="Times New Roman" w:cs="Times New Roman"/>
          <w:sz w:val="24"/>
          <w:szCs w:val="24"/>
        </w:rPr>
        <w:t>Mass. App. Ct.</w:t>
      </w:r>
      <w:r w:rsidR="00541622">
        <w:rPr>
          <w:rFonts w:ascii="Times New Roman" w:hAnsi="Times New Roman" w:cs="Times New Roman"/>
          <w:sz w:val="24"/>
          <w:szCs w:val="24"/>
        </w:rPr>
        <w:t xml:space="preserve"> 536 (1989), </w:t>
      </w:r>
      <w:r w:rsidR="00541622">
        <w:rPr>
          <w:rFonts w:ascii="Times New Roman" w:hAnsi="Times New Roman" w:cs="Times New Roman"/>
          <w:i/>
          <w:sz w:val="24"/>
          <w:szCs w:val="24"/>
        </w:rPr>
        <w:t>quoting</w:t>
      </w:r>
      <w:r w:rsidR="00541622">
        <w:rPr>
          <w:rFonts w:ascii="Times New Roman" w:hAnsi="Times New Roman" w:cs="Times New Roman"/>
          <w:sz w:val="24"/>
          <w:szCs w:val="24"/>
        </w:rPr>
        <w:t xml:space="preserve"> </w:t>
      </w:r>
      <w:r w:rsidR="00541622" w:rsidRPr="00541622">
        <w:rPr>
          <w:rFonts w:ascii="Times New Roman" w:hAnsi="Times New Roman" w:cs="Times New Roman"/>
          <w:sz w:val="24"/>
          <w:szCs w:val="24"/>
          <w:u w:val="single"/>
        </w:rPr>
        <w:t>Daly v. Hussey</w:t>
      </w:r>
      <w:r w:rsidR="00C83F9A">
        <w:rPr>
          <w:rFonts w:ascii="Times New Roman" w:hAnsi="Times New Roman" w:cs="Times New Roman"/>
          <w:sz w:val="24"/>
          <w:szCs w:val="24"/>
        </w:rPr>
        <w:t>, 275 </w:t>
      </w:r>
      <w:r w:rsidR="00541622" w:rsidRPr="00541622">
        <w:rPr>
          <w:rFonts w:ascii="Times New Roman" w:hAnsi="Times New Roman" w:cs="Times New Roman"/>
          <w:sz w:val="24"/>
          <w:szCs w:val="24"/>
        </w:rPr>
        <w:t>Mass. 28, 29 (1931),</w:t>
      </w:r>
      <w:r w:rsidR="00C83F9A">
        <w:rPr>
          <w:rFonts w:ascii="Times New Roman" w:hAnsi="Times New Roman" w:cs="Times New Roman"/>
          <w:sz w:val="24"/>
          <w:szCs w:val="24"/>
        </w:rPr>
        <w:t xml:space="preserve"> citing </w:t>
      </w:r>
      <w:r w:rsidR="00C83F9A">
        <w:rPr>
          <w:rFonts w:ascii="Times New Roman" w:hAnsi="Times New Roman" w:cs="Times New Roman"/>
          <w:sz w:val="24"/>
          <w:szCs w:val="24"/>
          <w:u w:val="single"/>
        </w:rPr>
        <w:t>Wellman v. Carter</w:t>
      </w:r>
      <w:r w:rsidR="00C83F9A">
        <w:rPr>
          <w:rFonts w:ascii="Times New Roman" w:hAnsi="Times New Roman" w:cs="Times New Roman"/>
          <w:sz w:val="24"/>
          <w:szCs w:val="24"/>
        </w:rPr>
        <w:t>, 28</w:t>
      </w:r>
      <w:r w:rsidR="00C43861">
        <w:rPr>
          <w:rFonts w:ascii="Times New Roman" w:hAnsi="Times New Roman" w:cs="Times New Roman"/>
          <w:sz w:val="24"/>
          <w:szCs w:val="24"/>
        </w:rPr>
        <w:t>6</w:t>
      </w:r>
      <w:r w:rsidR="00C83F9A">
        <w:rPr>
          <w:rFonts w:ascii="Times New Roman" w:hAnsi="Times New Roman" w:cs="Times New Roman"/>
          <w:sz w:val="24"/>
          <w:szCs w:val="24"/>
        </w:rPr>
        <w:t xml:space="preserve"> Mass. 237, 247</w:t>
      </w:r>
      <w:r w:rsidR="00C43861">
        <w:rPr>
          <w:rFonts w:ascii="Times New Roman" w:hAnsi="Times New Roman" w:cs="Times New Roman"/>
          <w:sz w:val="24"/>
          <w:szCs w:val="24"/>
        </w:rPr>
        <w:t xml:space="preserve"> </w:t>
      </w:r>
      <w:r w:rsidR="00C83F9A">
        <w:rPr>
          <w:rFonts w:ascii="Times New Roman" w:hAnsi="Times New Roman" w:cs="Times New Roman"/>
          <w:sz w:val="24"/>
          <w:szCs w:val="24"/>
        </w:rPr>
        <w:t>(1934)</w:t>
      </w:r>
      <w:r w:rsidR="00F34CC0">
        <w:rPr>
          <w:rFonts w:ascii="Times New Roman" w:hAnsi="Times New Roman" w:cs="Times New Roman"/>
          <w:sz w:val="24"/>
          <w:szCs w:val="24"/>
        </w:rPr>
        <w:t xml:space="preserve">, </w:t>
      </w:r>
      <w:r w:rsidR="00C83F9A">
        <w:rPr>
          <w:rFonts w:ascii="Times New Roman" w:hAnsi="Times New Roman" w:cs="Times New Roman"/>
          <w:sz w:val="24"/>
          <w:szCs w:val="24"/>
          <w:u w:val="single"/>
        </w:rPr>
        <w:t>Sletterink v. Rooney</w:t>
      </w:r>
      <w:r w:rsidR="00C83F9A">
        <w:rPr>
          <w:rFonts w:ascii="Times New Roman" w:hAnsi="Times New Roman" w:cs="Times New Roman"/>
          <w:sz w:val="24"/>
          <w:szCs w:val="24"/>
        </w:rPr>
        <w:t>, 1 </w:t>
      </w:r>
      <w:r w:rsidR="00C15452">
        <w:rPr>
          <w:rFonts w:ascii="Times New Roman" w:hAnsi="Times New Roman" w:cs="Times New Roman"/>
          <w:sz w:val="24"/>
          <w:szCs w:val="24"/>
        </w:rPr>
        <w:t>Mass. App. Ct.</w:t>
      </w:r>
      <w:r w:rsidR="00C83F9A">
        <w:rPr>
          <w:rFonts w:ascii="Times New Roman" w:hAnsi="Times New Roman" w:cs="Times New Roman"/>
          <w:sz w:val="24"/>
          <w:szCs w:val="24"/>
        </w:rPr>
        <w:t xml:space="preserve"> 809 (1973).  </w:t>
      </w:r>
    </w:p>
    <w:p w14:paraId="6843C463" w14:textId="77777777" w:rsidR="006128FA" w:rsidRPr="00C56CF8" w:rsidRDefault="006128FA" w:rsidP="006128FA">
      <w:pPr>
        <w:pStyle w:val="ListParagraph"/>
        <w:keepNext/>
        <w:numPr>
          <w:ilvl w:val="0"/>
          <w:numId w:val="2"/>
        </w:numPr>
        <w:spacing w:after="0" w:line="480" w:lineRule="auto"/>
        <w:rPr>
          <w:rFonts w:ascii="Times New Roman" w:hAnsi="Times New Roman" w:cs="Times New Roman"/>
          <w:b/>
          <w:sz w:val="24"/>
          <w:szCs w:val="24"/>
          <w:u w:val="single"/>
        </w:rPr>
      </w:pPr>
      <w:r>
        <w:rPr>
          <w:rFonts w:ascii="Times New Roman" w:hAnsi="Times New Roman" w:cs="Times New Roman"/>
          <w:b/>
          <w:sz w:val="24"/>
          <w:szCs w:val="24"/>
          <w:u w:val="single"/>
        </w:rPr>
        <w:t>Contractual</w:t>
      </w:r>
      <w:r w:rsidRPr="00C56CF8">
        <w:rPr>
          <w:rFonts w:ascii="Times New Roman" w:hAnsi="Times New Roman" w:cs="Times New Roman"/>
          <w:b/>
          <w:sz w:val="24"/>
          <w:szCs w:val="24"/>
          <w:u w:val="single"/>
        </w:rPr>
        <w:t xml:space="preserve"> Capacity</w:t>
      </w:r>
    </w:p>
    <w:p w14:paraId="0AD1FF88" w14:textId="77777777" w:rsidR="006128FA" w:rsidRDefault="006128FA" w:rsidP="00EB0B0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“Testamentary capacity </w:t>
      </w:r>
      <w:r w:rsidR="00AC35F1">
        <w:rPr>
          <w:rFonts w:ascii="Times New Roman" w:hAnsi="Times New Roman" w:cs="Times New Roman"/>
          <w:sz w:val="24"/>
          <w:szCs w:val="24"/>
        </w:rPr>
        <w:t>is a less demanding standard tha</w:t>
      </w:r>
      <w:r w:rsidR="00A16D72">
        <w:rPr>
          <w:rFonts w:ascii="Times New Roman" w:hAnsi="Times New Roman" w:cs="Times New Roman"/>
          <w:sz w:val="24"/>
          <w:szCs w:val="24"/>
        </w:rPr>
        <w:t>n</w:t>
      </w:r>
      <w:r w:rsidR="00AC35F1">
        <w:rPr>
          <w:rFonts w:ascii="Times New Roman" w:hAnsi="Times New Roman" w:cs="Times New Roman"/>
          <w:sz w:val="24"/>
          <w:szCs w:val="24"/>
        </w:rPr>
        <w:t xml:space="preserve"> contractual capacity, applicable to deeds or written instruments. . . . “  </w:t>
      </w:r>
      <w:r w:rsidR="00AC35F1">
        <w:rPr>
          <w:rFonts w:ascii="Times New Roman" w:hAnsi="Times New Roman" w:cs="Times New Roman"/>
          <w:sz w:val="24"/>
          <w:szCs w:val="24"/>
          <w:u w:val="single"/>
        </w:rPr>
        <w:t>Adler v. Adler</w:t>
      </w:r>
      <w:r w:rsidR="00AC35F1">
        <w:rPr>
          <w:rFonts w:ascii="Times New Roman" w:hAnsi="Times New Roman" w:cs="Times New Roman"/>
          <w:sz w:val="24"/>
          <w:szCs w:val="24"/>
        </w:rPr>
        <w:t xml:space="preserve">, 83 </w:t>
      </w:r>
      <w:r w:rsidR="00C15452">
        <w:rPr>
          <w:rFonts w:ascii="Times New Roman" w:hAnsi="Times New Roman" w:cs="Times New Roman"/>
          <w:sz w:val="24"/>
          <w:szCs w:val="24"/>
        </w:rPr>
        <w:t>Mass. App. Ct.</w:t>
      </w:r>
      <w:r w:rsidR="00AC35F1">
        <w:rPr>
          <w:rFonts w:ascii="Times New Roman" w:hAnsi="Times New Roman" w:cs="Times New Roman"/>
          <w:sz w:val="24"/>
          <w:szCs w:val="24"/>
        </w:rPr>
        <w:t xml:space="preserve"> 1135</w:t>
      </w:r>
      <w:r w:rsidR="004D1857">
        <w:rPr>
          <w:rFonts w:ascii="Times New Roman" w:hAnsi="Times New Roman" w:cs="Times New Roman"/>
          <w:sz w:val="24"/>
          <w:szCs w:val="24"/>
        </w:rPr>
        <w:t>, 2013 WL 2450576</w:t>
      </w:r>
      <w:r w:rsidR="00AC35F1">
        <w:rPr>
          <w:rFonts w:ascii="Times New Roman" w:hAnsi="Times New Roman" w:cs="Times New Roman"/>
          <w:sz w:val="24"/>
          <w:szCs w:val="24"/>
        </w:rPr>
        <w:t xml:space="preserve"> (2013).  </w:t>
      </w:r>
      <w:r w:rsidR="00F34CC0">
        <w:rPr>
          <w:rFonts w:ascii="Times New Roman" w:hAnsi="Times New Roman" w:cs="Times New Roman"/>
          <w:sz w:val="24"/>
          <w:szCs w:val="24"/>
        </w:rPr>
        <w:t>Contractual capacity “</w:t>
      </w:r>
      <w:r w:rsidR="00AC35F1">
        <w:rPr>
          <w:rFonts w:ascii="Times New Roman" w:hAnsi="Times New Roman" w:cs="Times New Roman"/>
          <w:sz w:val="24"/>
          <w:szCs w:val="24"/>
        </w:rPr>
        <w:t>requires the ability</w:t>
      </w:r>
      <w:r w:rsidR="005E03A7">
        <w:rPr>
          <w:rFonts w:ascii="Times New Roman" w:hAnsi="Times New Roman" w:cs="Times New Roman"/>
          <w:sz w:val="24"/>
          <w:szCs w:val="24"/>
        </w:rPr>
        <w:t xml:space="preserve"> to</w:t>
      </w:r>
      <w:r w:rsidR="00AC35F1">
        <w:rPr>
          <w:rFonts w:ascii="Times New Roman" w:hAnsi="Times New Roman" w:cs="Times New Roman"/>
          <w:sz w:val="24"/>
          <w:szCs w:val="24"/>
        </w:rPr>
        <w:t xml:space="preserve"> ‘understand the nature and quality of the transaction’ and to ‘grasp its significance.’”  </w:t>
      </w:r>
      <w:r w:rsidR="00AC35F1">
        <w:rPr>
          <w:rFonts w:ascii="Times New Roman" w:hAnsi="Times New Roman" w:cs="Times New Roman"/>
          <w:sz w:val="24"/>
          <w:szCs w:val="24"/>
          <w:u w:val="single"/>
        </w:rPr>
        <w:t>Id.</w:t>
      </w:r>
      <w:r w:rsidR="00AC35F1">
        <w:rPr>
          <w:rFonts w:ascii="Times New Roman" w:hAnsi="Times New Roman" w:cs="Times New Roman"/>
          <w:sz w:val="24"/>
          <w:szCs w:val="24"/>
        </w:rPr>
        <w:t xml:space="preserve">, </w:t>
      </w:r>
      <w:r w:rsidR="00AC35F1">
        <w:rPr>
          <w:rFonts w:ascii="Times New Roman" w:hAnsi="Times New Roman" w:cs="Times New Roman"/>
          <w:i/>
          <w:sz w:val="24"/>
          <w:szCs w:val="24"/>
        </w:rPr>
        <w:t>quoting</w:t>
      </w:r>
      <w:r w:rsidR="00AC35F1">
        <w:rPr>
          <w:rFonts w:ascii="Times New Roman" w:hAnsi="Times New Roman" w:cs="Times New Roman"/>
          <w:sz w:val="24"/>
          <w:szCs w:val="24"/>
        </w:rPr>
        <w:t xml:space="preserve"> </w:t>
      </w:r>
      <w:r w:rsidR="00AC35F1">
        <w:rPr>
          <w:rFonts w:ascii="Times New Roman" w:hAnsi="Times New Roman" w:cs="Times New Roman"/>
          <w:sz w:val="24"/>
          <w:szCs w:val="24"/>
          <w:u w:val="single"/>
        </w:rPr>
        <w:t xml:space="preserve">Maimonides School v. </w:t>
      </w:r>
      <w:r w:rsidR="00AC35F1">
        <w:rPr>
          <w:rFonts w:ascii="Times New Roman" w:hAnsi="Times New Roman" w:cs="Times New Roman"/>
          <w:sz w:val="24"/>
          <w:szCs w:val="24"/>
          <w:u w:val="single"/>
        </w:rPr>
        <w:lastRenderedPageBreak/>
        <w:t>Coles</w:t>
      </w:r>
      <w:r w:rsidR="00AC35F1">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AC35F1">
        <w:rPr>
          <w:rFonts w:ascii="Times New Roman" w:hAnsi="Times New Roman" w:cs="Times New Roman"/>
          <w:sz w:val="24"/>
          <w:szCs w:val="24"/>
        </w:rPr>
        <w:t xml:space="preserve"> 240, 251 (2008).  In </w:t>
      </w:r>
      <w:r w:rsidR="00AC35F1">
        <w:rPr>
          <w:rFonts w:ascii="Times New Roman" w:hAnsi="Times New Roman" w:cs="Times New Roman"/>
          <w:sz w:val="24"/>
          <w:szCs w:val="24"/>
          <w:u w:val="single"/>
        </w:rPr>
        <w:t>Sutcliffe v. Heatley</w:t>
      </w:r>
      <w:r w:rsidR="00AC35F1">
        <w:rPr>
          <w:rFonts w:ascii="Times New Roman" w:hAnsi="Times New Roman" w:cs="Times New Roman"/>
          <w:sz w:val="24"/>
          <w:szCs w:val="24"/>
        </w:rPr>
        <w:t xml:space="preserve">, </w:t>
      </w:r>
      <w:r w:rsidR="008D5113">
        <w:rPr>
          <w:rFonts w:ascii="Times New Roman" w:hAnsi="Times New Roman" w:cs="Times New Roman"/>
          <w:sz w:val="24"/>
          <w:szCs w:val="24"/>
        </w:rPr>
        <w:t>232 Mass. 231 (1919), the Supreme Judicial Court held:</w:t>
      </w:r>
    </w:p>
    <w:p w14:paraId="3544B7A8" w14:textId="77777777" w:rsidR="008D5113" w:rsidRDefault="004D3A62" w:rsidP="009A7B45">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The test in cases of this kind is whether the person executing the instrument had sufficient mental capacity to be capable of transacting the business.  </w:t>
      </w:r>
      <w:r w:rsidRPr="005E03A7">
        <w:rPr>
          <w:rFonts w:ascii="Times New Roman" w:hAnsi="Times New Roman" w:cs="Times New Roman"/>
          <w:sz w:val="24"/>
          <w:szCs w:val="24"/>
          <w:u w:val="single"/>
        </w:rPr>
        <w:t>If she could not understand the nature and quality of the transaction or grasp its significance, then it was not the act of a person of sound mind</w:t>
      </w:r>
      <w:r>
        <w:rPr>
          <w:rFonts w:ascii="Times New Roman" w:hAnsi="Times New Roman" w:cs="Times New Roman"/>
          <w:sz w:val="24"/>
          <w:szCs w:val="24"/>
        </w:rPr>
        <w:t xml:space="preserve">.  There may be intellectual weakness not amounting to lack of power to comprehend.  But </w:t>
      </w:r>
      <w:r w:rsidRPr="005E03A7">
        <w:rPr>
          <w:rFonts w:ascii="Times New Roman" w:hAnsi="Times New Roman" w:cs="Times New Roman"/>
          <w:sz w:val="24"/>
          <w:szCs w:val="24"/>
          <w:u w:val="single"/>
        </w:rPr>
        <w:t>an inability to realize the true purport of the matter in hand is equivalent to incapacity</w:t>
      </w:r>
      <w:r>
        <w:rPr>
          <w:rFonts w:ascii="Times New Roman" w:hAnsi="Times New Roman" w:cs="Times New Roman"/>
          <w:sz w:val="24"/>
          <w:szCs w:val="24"/>
        </w:rPr>
        <w:t>.  When this is established then a contract is voidable.</w:t>
      </w:r>
    </w:p>
    <w:p w14:paraId="28468B2A" w14:textId="77777777" w:rsidR="008D5113" w:rsidRDefault="008D5113" w:rsidP="008D5113">
      <w:pPr>
        <w:spacing w:after="0" w:line="240" w:lineRule="auto"/>
        <w:ind w:firstLine="720"/>
        <w:rPr>
          <w:rFonts w:ascii="Times New Roman" w:hAnsi="Times New Roman" w:cs="Times New Roman"/>
          <w:sz w:val="24"/>
          <w:szCs w:val="24"/>
        </w:rPr>
      </w:pPr>
    </w:p>
    <w:p w14:paraId="355589A6" w14:textId="77777777" w:rsidR="005E03A7" w:rsidRPr="005E03A7" w:rsidRDefault="005E03A7" w:rsidP="005E03A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xml:space="preserve"> (emphasis added).  </w:t>
      </w:r>
    </w:p>
    <w:p w14:paraId="2D8E7268" w14:textId="77777777" w:rsidR="008D5113" w:rsidRDefault="004D3A62" w:rsidP="00022F26">
      <w:pPr>
        <w:spacing w:after="0" w:line="480" w:lineRule="auto"/>
        <w:ind w:firstLine="720"/>
        <w:rPr>
          <w:rFonts w:ascii="Times New Roman" w:hAnsi="Times New Roman" w:cs="Times New Roman"/>
          <w:sz w:val="24"/>
          <w:szCs w:val="24"/>
        </w:rPr>
      </w:pPr>
      <w:r w:rsidRPr="004D3A62">
        <w:rPr>
          <w:rFonts w:ascii="Times New Roman" w:hAnsi="Times New Roman" w:cs="Times New Roman"/>
          <w:sz w:val="24"/>
          <w:szCs w:val="24"/>
        </w:rPr>
        <w:t xml:space="preserve">While </w:t>
      </w:r>
      <w:r w:rsidR="009B6EE1">
        <w:rPr>
          <w:rFonts w:ascii="Times New Roman" w:hAnsi="Times New Roman" w:cs="Times New Roman"/>
          <w:sz w:val="24"/>
          <w:szCs w:val="24"/>
        </w:rPr>
        <w:t xml:space="preserve">a lucid interval might support a finding of testamentary capacity, it may not be a sufficient basis for contractual capacity.   </w:t>
      </w:r>
    </w:p>
    <w:p w14:paraId="4CC7D619" w14:textId="77777777" w:rsidR="009A7B45" w:rsidRDefault="009A7B45" w:rsidP="009A7B45">
      <w:pPr>
        <w:spacing w:after="0" w:line="240" w:lineRule="auto"/>
        <w:ind w:left="720" w:right="1440"/>
        <w:rPr>
          <w:rFonts w:ascii="Times New Roman" w:hAnsi="Times New Roman" w:cs="Times New Roman"/>
          <w:sz w:val="24"/>
          <w:szCs w:val="24"/>
        </w:rPr>
      </w:pPr>
      <w:r w:rsidRPr="00C42D86">
        <w:rPr>
          <w:rFonts w:ascii="Times New Roman" w:hAnsi="Times New Roman" w:cs="Times New Roman"/>
          <w:sz w:val="24"/>
          <w:szCs w:val="24"/>
          <w:u w:val="single"/>
        </w:rPr>
        <w:t>Competence to enter into a contract presupposes something more than a transient surge of lucidity</w:t>
      </w:r>
      <w:r>
        <w:rPr>
          <w:rFonts w:ascii="Times New Roman" w:hAnsi="Times New Roman" w:cs="Times New Roman"/>
          <w:sz w:val="24"/>
          <w:szCs w:val="24"/>
        </w:rPr>
        <w:t>.  It involves not merely comprehension of what is ‘going on,’ but an ability to comprehend the nature and quality of the transaction, together with an understanding of its significance and consequences.  From a testator we ask awareness of the natural objects of bounty.  The choice among those objects may be seen by others as arbitrary, but arbitrariness or capriciousness may be allowed a donor.  In the act of entering into a contract there are reciprocal obligations, and it is appropriate, when mental incapacity, as here, is manifest, to require a baseline of reasonable</w:t>
      </w:r>
      <w:r w:rsidR="006E3EC8">
        <w:rPr>
          <w:rFonts w:ascii="Times New Roman" w:hAnsi="Times New Roman" w:cs="Times New Roman"/>
          <w:sz w:val="24"/>
          <w:szCs w:val="24"/>
        </w:rPr>
        <w:t>ness</w:t>
      </w:r>
      <w:r>
        <w:rPr>
          <w:rFonts w:ascii="Times New Roman" w:hAnsi="Times New Roman" w:cs="Times New Roman"/>
          <w:sz w:val="24"/>
          <w:szCs w:val="24"/>
        </w:rPr>
        <w:t>.</w:t>
      </w:r>
    </w:p>
    <w:p w14:paraId="296D6083" w14:textId="77777777" w:rsidR="009A7B45" w:rsidRDefault="009A7B45" w:rsidP="009A7B45">
      <w:pPr>
        <w:spacing w:after="0" w:line="240" w:lineRule="auto"/>
        <w:ind w:firstLine="720"/>
        <w:rPr>
          <w:rFonts w:ascii="Times New Roman" w:hAnsi="Times New Roman" w:cs="Times New Roman"/>
          <w:sz w:val="24"/>
          <w:szCs w:val="24"/>
        </w:rPr>
      </w:pPr>
    </w:p>
    <w:p w14:paraId="641C5CDA" w14:textId="77777777" w:rsidR="00C42D86" w:rsidRDefault="00343E9E" w:rsidP="00343E9E">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Farnum v. Silvano</w:t>
      </w:r>
      <w:r>
        <w:rPr>
          <w:rFonts w:ascii="Times New Roman" w:hAnsi="Times New Roman" w:cs="Times New Roman"/>
          <w:sz w:val="24"/>
          <w:szCs w:val="24"/>
        </w:rPr>
        <w:t xml:space="preserve">, 27 </w:t>
      </w:r>
      <w:r w:rsidR="00C15452">
        <w:rPr>
          <w:rFonts w:ascii="Times New Roman" w:hAnsi="Times New Roman" w:cs="Times New Roman"/>
          <w:sz w:val="24"/>
          <w:szCs w:val="24"/>
        </w:rPr>
        <w:t>Mass. App. Ct.</w:t>
      </w:r>
      <w:r>
        <w:rPr>
          <w:rFonts w:ascii="Times New Roman" w:hAnsi="Times New Roman" w:cs="Times New Roman"/>
          <w:sz w:val="24"/>
          <w:szCs w:val="24"/>
        </w:rPr>
        <w:t xml:space="preserve"> 536, 538 (1989)</w:t>
      </w:r>
      <w:r w:rsidR="00C42D86">
        <w:rPr>
          <w:rFonts w:ascii="Times New Roman" w:hAnsi="Times New Roman" w:cs="Times New Roman"/>
          <w:sz w:val="24"/>
          <w:szCs w:val="24"/>
        </w:rPr>
        <w:t xml:space="preserve"> (emphasis added) </w:t>
      </w:r>
      <w:r>
        <w:rPr>
          <w:rFonts w:ascii="Times New Roman" w:hAnsi="Times New Roman" w:cs="Times New Roman"/>
          <w:sz w:val="24"/>
          <w:szCs w:val="24"/>
        </w:rPr>
        <w:t xml:space="preserve">(citations omitted).  </w:t>
      </w:r>
    </w:p>
    <w:p w14:paraId="2F22FA2D" w14:textId="77777777" w:rsidR="00343E9E" w:rsidRDefault="00343E9E" w:rsidP="00C42D8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Farnum</w:t>
      </w:r>
      <w:r>
        <w:rPr>
          <w:rFonts w:ascii="Times New Roman" w:hAnsi="Times New Roman" w:cs="Times New Roman"/>
          <w:sz w:val="24"/>
          <w:szCs w:val="24"/>
        </w:rPr>
        <w:t xml:space="preserve"> the Probate</w:t>
      </w:r>
      <w:r w:rsidR="00F34CC0">
        <w:rPr>
          <w:rFonts w:ascii="Times New Roman" w:hAnsi="Times New Roman" w:cs="Times New Roman"/>
          <w:sz w:val="24"/>
          <w:szCs w:val="24"/>
        </w:rPr>
        <w:t xml:space="preserve"> and Family</w:t>
      </w:r>
      <w:r>
        <w:rPr>
          <w:rFonts w:ascii="Times New Roman" w:hAnsi="Times New Roman" w:cs="Times New Roman"/>
          <w:sz w:val="24"/>
          <w:szCs w:val="24"/>
        </w:rPr>
        <w:t xml:space="preserve"> Court upheld a deed by a 90-year old woman of </w:t>
      </w:r>
      <w:r w:rsidR="00ED69CE">
        <w:rPr>
          <w:rFonts w:ascii="Times New Roman" w:hAnsi="Times New Roman" w:cs="Times New Roman"/>
          <w:sz w:val="24"/>
          <w:szCs w:val="24"/>
        </w:rPr>
        <w:t xml:space="preserve">property for half its fair market value finding that it was done during a lucid interval.  </w:t>
      </w:r>
      <w:r w:rsidR="00B1748A">
        <w:rPr>
          <w:rFonts w:ascii="Times New Roman" w:hAnsi="Times New Roman" w:cs="Times New Roman"/>
          <w:sz w:val="24"/>
          <w:szCs w:val="24"/>
        </w:rPr>
        <w:t>The A</w:t>
      </w:r>
      <w:r w:rsidR="00ED69CE">
        <w:rPr>
          <w:rFonts w:ascii="Times New Roman" w:hAnsi="Times New Roman" w:cs="Times New Roman"/>
          <w:sz w:val="24"/>
          <w:szCs w:val="24"/>
        </w:rPr>
        <w:t>ppeal</w:t>
      </w:r>
      <w:r w:rsidR="00B1748A">
        <w:rPr>
          <w:rFonts w:ascii="Times New Roman" w:hAnsi="Times New Roman" w:cs="Times New Roman"/>
          <w:sz w:val="24"/>
          <w:szCs w:val="24"/>
        </w:rPr>
        <w:t>s C</w:t>
      </w:r>
      <w:r w:rsidR="00ED69CE">
        <w:rPr>
          <w:rFonts w:ascii="Times New Roman" w:hAnsi="Times New Roman" w:cs="Times New Roman"/>
          <w:sz w:val="24"/>
          <w:szCs w:val="24"/>
        </w:rPr>
        <w:t xml:space="preserve">ourt reversed in part because the evidence indicated </w:t>
      </w:r>
      <w:r w:rsidR="00D04AC8">
        <w:rPr>
          <w:rFonts w:ascii="Times New Roman" w:hAnsi="Times New Roman" w:cs="Times New Roman"/>
          <w:sz w:val="24"/>
          <w:szCs w:val="24"/>
        </w:rPr>
        <w:t>she</w:t>
      </w:r>
      <w:r w:rsidR="00ED69CE">
        <w:rPr>
          <w:rFonts w:ascii="Times New Roman" w:hAnsi="Times New Roman" w:cs="Times New Roman"/>
          <w:sz w:val="24"/>
          <w:szCs w:val="24"/>
        </w:rPr>
        <w:t xml:space="preserve"> did not understand the consequences of the transaction for her finances going forward.  </w:t>
      </w:r>
    </w:p>
    <w:p w14:paraId="6BE46829" w14:textId="77777777" w:rsidR="00ED69CE" w:rsidRDefault="00ED69CE" w:rsidP="00ED69CE">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Applied to the case at hand, </w:t>
      </w:r>
      <w:r w:rsidRPr="00226317">
        <w:rPr>
          <w:rFonts w:ascii="Times New Roman" w:hAnsi="Times New Roman" w:cs="Times New Roman"/>
          <w:sz w:val="24"/>
          <w:szCs w:val="24"/>
          <w:u w:val="single"/>
        </w:rPr>
        <w:t>Farnum could be aware that she was selling her house to Silvano for much less than it was worth, while failing to understand the unreasonableness of doing so at a time when she faced serious cash demands</w:t>
      </w:r>
      <w:r>
        <w:rPr>
          <w:rFonts w:ascii="Times New Roman" w:hAnsi="Times New Roman" w:cs="Times New Roman"/>
          <w:sz w:val="24"/>
          <w:szCs w:val="24"/>
        </w:rPr>
        <w:t xml:space="preserve"> for rent, home care, or nursing home charges.  That difference between awareness of the surface of a transaction, </w:t>
      </w:r>
      <w:r>
        <w:rPr>
          <w:rFonts w:ascii="Times New Roman" w:hAnsi="Times New Roman" w:cs="Times New Roman"/>
          <w:i/>
          <w:sz w:val="24"/>
          <w:szCs w:val="24"/>
        </w:rPr>
        <w:t>i.e.</w:t>
      </w:r>
      <w:r>
        <w:rPr>
          <w:rFonts w:ascii="Times New Roman" w:hAnsi="Times New Roman" w:cs="Times New Roman"/>
          <w:sz w:val="24"/>
          <w:szCs w:val="24"/>
        </w:rPr>
        <w:t xml:space="preserve">, that it </w:t>
      </w:r>
      <w:r>
        <w:rPr>
          <w:rFonts w:ascii="Times New Roman" w:hAnsi="Times New Roman" w:cs="Times New Roman"/>
          <w:sz w:val="24"/>
          <w:szCs w:val="24"/>
        </w:rPr>
        <w:lastRenderedPageBreak/>
        <w:t>was happening, and failure to comprehend the unreasonableness and consequences of the transaction by a mentally impaired person.</w:t>
      </w:r>
    </w:p>
    <w:p w14:paraId="347CE89A" w14:textId="77777777" w:rsidR="00226317" w:rsidRDefault="00226317" w:rsidP="00ED69CE">
      <w:pPr>
        <w:spacing w:after="0" w:line="240" w:lineRule="auto"/>
        <w:ind w:left="720" w:right="1440"/>
        <w:rPr>
          <w:rFonts w:ascii="Times New Roman" w:hAnsi="Times New Roman" w:cs="Times New Roman"/>
          <w:sz w:val="24"/>
          <w:szCs w:val="24"/>
        </w:rPr>
      </w:pPr>
    </w:p>
    <w:p w14:paraId="36F43197" w14:textId="77777777" w:rsidR="00226317" w:rsidRPr="005E03A7" w:rsidRDefault="00226317" w:rsidP="00226317">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xml:space="preserve"> (emphasis added).  </w:t>
      </w:r>
    </w:p>
    <w:p w14:paraId="511F38EF" w14:textId="77777777" w:rsidR="00B72DC7" w:rsidRDefault="00B72DC7" w:rsidP="0022631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u w:val="single"/>
        </w:rPr>
        <w:t>Krasner v. Berk</w:t>
      </w:r>
      <w:r>
        <w:rPr>
          <w:rFonts w:ascii="Times New Roman" w:hAnsi="Times New Roman" w:cs="Times New Roman"/>
          <w:sz w:val="24"/>
          <w:szCs w:val="24"/>
        </w:rPr>
        <w:t xml:space="preserve">, 366 Mass. 464 (1974), illustrates </w:t>
      </w:r>
      <w:r w:rsidR="00F34CC0">
        <w:rPr>
          <w:rFonts w:ascii="Times New Roman" w:hAnsi="Times New Roman" w:cs="Times New Roman"/>
          <w:sz w:val="24"/>
          <w:szCs w:val="24"/>
        </w:rPr>
        <w:t xml:space="preserve">well </w:t>
      </w:r>
      <w:r>
        <w:rPr>
          <w:rFonts w:ascii="Times New Roman" w:hAnsi="Times New Roman" w:cs="Times New Roman"/>
          <w:sz w:val="24"/>
          <w:szCs w:val="24"/>
        </w:rPr>
        <w:t xml:space="preserve">the distinction between testamentary and contractual capacity.  The defendant, a physician, entered into a written agreement with </w:t>
      </w:r>
      <w:r w:rsidR="00D04AC8">
        <w:rPr>
          <w:rFonts w:ascii="Times New Roman" w:hAnsi="Times New Roman" w:cs="Times New Roman"/>
          <w:sz w:val="24"/>
          <w:szCs w:val="24"/>
        </w:rPr>
        <w:t xml:space="preserve">a colleague, obligating each to continue to </w:t>
      </w:r>
      <w:r>
        <w:rPr>
          <w:rFonts w:ascii="Times New Roman" w:hAnsi="Times New Roman" w:cs="Times New Roman"/>
          <w:sz w:val="24"/>
          <w:szCs w:val="24"/>
        </w:rPr>
        <w:t>pay one-half the rent and taxes due under their lease even if one of them was “unable to occupy his suite as a result of disability or for any other reason.”</w:t>
      </w:r>
      <w:r w:rsidR="00350ACA">
        <w:rPr>
          <w:rFonts w:ascii="Times New Roman" w:hAnsi="Times New Roman" w:cs="Times New Roman"/>
          <w:sz w:val="24"/>
          <w:szCs w:val="24"/>
        </w:rPr>
        <w:t xml:space="preserve">  The defendant suffered </w:t>
      </w:r>
      <w:r w:rsidR="00D04AC8">
        <w:rPr>
          <w:rFonts w:ascii="Times New Roman" w:hAnsi="Times New Roman" w:cs="Times New Roman"/>
          <w:sz w:val="24"/>
          <w:szCs w:val="24"/>
        </w:rPr>
        <w:t xml:space="preserve">progressive </w:t>
      </w:r>
      <w:r w:rsidR="00350ACA">
        <w:rPr>
          <w:rFonts w:ascii="Times New Roman" w:hAnsi="Times New Roman" w:cs="Times New Roman"/>
          <w:sz w:val="24"/>
          <w:szCs w:val="24"/>
        </w:rPr>
        <w:t>presenile dementia</w:t>
      </w:r>
      <w:r w:rsidR="00C139D8">
        <w:rPr>
          <w:rFonts w:ascii="Times New Roman" w:hAnsi="Times New Roman" w:cs="Times New Roman"/>
          <w:sz w:val="24"/>
          <w:szCs w:val="24"/>
        </w:rPr>
        <w:t>.  “</w:t>
      </w:r>
      <w:r w:rsidR="00350ACA">
        <w:rPr>
          <w:rFonts w:ascii="Times New Roman" w:hAnsi="Times New Roman" w:cs="Times New Roman"/>
          <w:sz w:val="24"/>
          <w:szCs w:val="24"/>
        </w:rPr>
        <w:t>Within two weeks after signing the agreement</w:t>
      </w:r>
      <w:r w:rsidR="00F34CC0">
        <w:rPr>
          <w:rFonts w:ascii="Times New Roman" w:hAnsi="Times New Roman" w:cs="Times New Roman"/>
          <w:sz w:val="24"/>
          <w:szCs w:val="24"/>
        </w:rPr>
        <w:t>,</w:t>
      </w:r>
      <w:r w:rsidR="00350ACA">
        <w:rPr>
          <w:rFonts w:ascii="Times New Roman" w:hAnsi="Times New Roman" w:cs="Times New Roman"/>
          <w:sz w:val="24"/>
          <w:szCs w:val="24"/>
        </w:rPr>
        <w:t xml:space="preserve"> he consulted a doctor specializing in brain</w:t>
      </w:r>
      <w:r w:rsidR="008D2A2D">
        <w:rPr>
          <w:rFonts w:ascii="Times New Roman" w:hAnsi="Times New Roman" w:cs="Times New Roman"/>
          <w:sz w:val="24"/>
          <w:szCs w:val="24"/>
        </w:rPr>
        <w:t xml:space="preserve"> disease, and discussed giving up his practice, and within six months that doctor advised him to give up the practice of medicine.  The agreement made was an improvident one for a doctor who was about to consider whether he should give up his practice.”  </w:t>
      </w:r>
      <w:r w:rsidR="008D2A2D">
        <w:rPr>
          <w:rFonts w:ascii="Times New Roman" w:hAnsi="Times New Roman" w:cs="Times New Roman"/>
          <w:sz w:val="24"/>
          <w:szCs w:val="24"/>
          <w:u w:val="single"/>
        </w:rPr>
        <w:t>Id.</w:t>
      </w:r>
      <w:r w:rsidR="008D2A2D">
        <w:rPr>
          <w:rFonts w:ascii="Times New Roman" w:hAnsi="Times New Roman" w:cs="Times New Roman"/>
          <w:sz w:val="24"/>
          <w:szCs w:val="24"/>
        </w:rPr>
        <w:t xml:space="preserve">, </w:t>
      </w:r>
      <w:r w:rsidR="00C139D8">
        <w:rPr>
          <w:rFonts w:ascii="Times New Roman" w:hAnsi="Times New Roman" w:cs="Times New Roman"/>
          <w:sz w:val="24"/>
          <w:szCs w:val="24"/>
        </w:rPr>
        <w:t xml:space="preserve">p. </w:t>
      </w:r>
      <w:r w:rsidR="008D2A2D">
        <w:rPr>
          <w:rFonts w:ascii="Times New Roman" w:hAnsi="Times New Roman" w:cs="Times New Roman"/>
          <w:sz w:val="24"/>
          <w:szCs w:val="24"/>
        </w:rPr>
        <w:t xml:space="preserve">901.  The trial court found in favor of the defendant on grounds of incapacity, while the appellate division ordered the finding vacated and judgment entered for the plaintiff.  On appeal, </w:t>
      </w:r>
      <w:r w:rsidR="00066341">
        <w:rPr>
          <w:rFonts w:ascii="Times New Roman" w:hAnsi="Times New Roman" w:cs="Times New Roman"/>
          <w:sz w:val="24"/>
          <w:szCs w:val="24"/>
        </w:rPr>
        <w:t xml:space="preserve">the Supreme Judicial Court reversed.  </w:t>
      </w:r>
    </w:p>
    <w:p w14:paraId="35D802D0" w14:textId="77777777" w:rsidR="009A7B45" w:rsidRDefault="00066341" w:rsidP="00022F2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Recognizing that the evidence supported that the defendant appreciated and understood the agreement</w:t>
      </w:r>
      <w:r w:rsidR="002C02BF">
        <w:rPr>
          <w:rFonts w:ascii="Times New Roman" w:hAnsi="Times New Roman" w:cs="Times New Roman"/>
          <w:sz w:val="24"/>
          <w:szCs w:val="24"/>
        </w:rPr>
        <w:t>,</w:t>
      </w:r>
      <w:r>
        <w:rPr>
          <w:rFonts w:ascii="Times New Roman" w:hAnsi="Times New Roman" w:cs="Times New Roman"/>
          <w:sz w:val="24"/>
          <w:szCs w:val="24"/>
        </w:rPr>
        <w:t xml:space="preserve"> the </w:t>
      </w:r>
      <w:r w:rsidR="002C02BF">
        <w:rPr>
          <w:rFonts w:ascii="Times New Roman" w:hAnsi="Times New Roman" w:cs="Times New Roman"/>
          <w:sz w:val="24"/>
          <w:szCs w:val="24"/>
        </w:rPr>
        <w:t>Supreme Judicial Court</w:t>
      </w:r>
      <w:r>
        <w:rPr>
          <w:rFonts w:ascii="Times New Roman" w:hAnsi="Times New Roman" w:cs="Times New Roman"/>
          <w:sz w:val="24"/>
          <w:szCs w:val="24"/>
        </w:rPr>
        <w:t xml:space="preserve"> commented, “We have little doubt that on a record like this one a finding that the defendant had testamentary capacity as distinguished from capacity to contact would be upheld.”  </w:t>
      </w:r>
      <w:r>
        <w:rPr>
          <w:rFonts w:ascii="Times New Roman" w:hAnsi="Times New Roman" w:cs="Times New Roman"/>
          <w:sz w:val="24"/>
          <w:szCs w:val="24"/>
          <w:u w:val="single"/>
        </w:rPr>
        <w:t>Id.</w:t>
      </w:r>
      <w:r>
        <w:rPr>
          <w:rFonts w:ascii="Times New Roman" w:hAnsi="Times New Roman" w:cs="Times New Roman"/>
          <w:sz w:val="24"/>
          <w:szCs w:val="24"/>
        </w:rPr>
        <w:t xml:space="preserve">  A key consideration for contractual capacity is whether the person understands the consequences of the transaction for his own future.  </w:t>
      </w:r>
      <w:r w:rsidR="002C02BF">
        <w:rPr>
          <w:rFonts w:ascii="Times New Roman" w:hAnsi="Times New Roman" w:cs="Times New Roman"/>
          <w:sz w:val="24"/>
          <w:szCs w:val="24"/>
        </w:rPr>
        <w:t xml:space="preserve">The Court quoted with favor the following from the Restatement of contracts:  </w:t>
      </w:r>
    </w:p>
    <w:p w14:paraId="3AF0C52C" w14:textId="77777777" w:rsidR="00066341" w:rsidRPr="004C5F03" w:rsidRDefault="008C6913" w:rsidP="003E702E">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 person incurs only voidable contractual duties by entering into a transaction if by reason of mental illness or defect . . . he is unable to understand in a reasonable manner the nature and consequences of the transaction.  </w:t>
      </w:r>
    </w:p>
    <w:p w14:paraId="41C8FA22" w14:textId="77777777" w:rsidR="000719A5" w:rsidRPr="004D3A62" w:rsidRDefault="000719A5" w:rsidP="008C6913">
      <w:pPr>
        <w:spacing w:after="0" w:line="240" w:lineRule="auto"/>
        <w:rPr>
          <w:rFonts w:ascii="Times New Roman" w:hAnsi="Times New Roman" w:cs="Times New Roman"/>
          <w:sz w:val="24"/>
          <w:szCs w:val="24"/>
        </w:rPr>
      </w:pPr>
    </w:p>
    <w:p w14:paraId="5630B953" w14:textId="77777777" w:rsidR="000719A5" w:rsidRDefault="00912879" w:rsidP="00BC4603">
      <w:pPr>
        <w:spacing w:after="0"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Id.</w:t>
      </w:r>
      <w:r>
        <w:rPr>
          <w:rFonts w:ascii="Times New Roman" w:hAnsi="Times New Roman" w:cs="Times New Roman"/>
          <w:sz w:val="24"/>
          <w:szCs w:val="24"/>
        </w:rPr>
        <w:t xml:space="preserve"> 467-68</w:t>
      </w:r>
      <w:r w:rsidR="002C02BF">
        <w:rPr>
          <w:rFonts w:ascii="Times New Roman" w:hAnsi="Times New Roman" w:cs="Times New Roman"/>
          <w:sz w:val="24"/>
          <w:szCs w:val="24"/>
        </w:rPr>
        <w:t xml:space="preserve">, </w:t>
      </w:r>
      <w:r w:rsidR="002C02BF">
        <w:rPr>
          <w:rFonts w:ascii="Times New Roman" w:hAnsi="Times New Roman" w:cs="Times New Roman"/>
          <w:i/>
          <w:sz w:val="24"/>
          <w:szCs w:val="24"/>
        </w:rPr>
        <w:t>quoting</w:t>
      </w:r>
      <w:r w:rsidR="002C02BF">
        <w:rPr>
          <w:rFonts w:ascii="Times New Roman" w:hAnsi="Times New Roman" w:cs="Times New Roman"/>
          <w:sz w:val="24"/>
          <w:szCs w:val="24"/>
        </w:rPr>
        <w:t xml:space="preserve"> Restatement 2d:  Contracts (Tent. drafts 1-7, 1973) </w:t>
      </w:r>
      <w:r w:rsidR="002C02BF" w:rsidRPr="008C6913">
        <w:rPr>
          <w:rFonts w:ascii="Times New Roman" w:hAnsi="Times New Roman" w:cs="Times New Roman"/>
          <w:sz w:val="24"/>
          <w:szCs w:val="24"/>
        </w:rPr>
        <w:t>§ </w:t>
      </w:r>
      <w:r w:rsidR="002C02BF">
        <w:rPr>
          <w:rFonts w:ascii="Times New Roman" w:hAnsi="Times New Roman" w:cs="Times New Roman"/>
          <w:sz w:val="24"/>
          <w:szCs w:val="24"/>
        </w:rPr>
        <w:t>18C(1)(a)</w:t>
      </w:r>
      <w:r>
        <w:rPr>
          <w:rFonts w:ascii="Times New Roman" w:hAnsi="Times New Roman" w:cs="Times New Roman"/>
          <w:sz w:val="24"/>
          <w:szCs w:val="24"/>
        </w:rPr>
        <w:t>.  Applying this standard, the court held tha</w:t>
      </w:r>
      <w:r w:rsidR="003F3866">
        <w:rPr>
          <w:rFonts w:ascii="Times New Roman" w:hAnsi="Times New Roman" w:cs="Times New Roman"/>
          <w:sz w:val="24"/>
          <w:szCs w:val="24"/>
        </w:rPr>
        <w:t>t the defendant lacked capacity</w:t>
      </w:r>
      <w:r w:rsidR="00C139D8">
        <w:rPr>
          <w:rFonts w:ascii="Times New Roman" w:hAnsi="Times New Roman" w:cs="Times New Roman"/>
          <w:sz w:val="24"/>
          <w:szCs w:val="24"/>
        </w:rPr>
        <w:t xml:space="preserve"> because he could not appreciate the consequences of agreeing to the condition in the agreement</w:t>
      </w:r>
      <w:r w:rsidR="003F3866">
        <w:rPr>
          <w:rFonts w:ascii="Times New Roman" w:hAnsi="Times New Roman" w:cs="Times New Roman"/>
          <w:sz w:val="24"/>
          <w:szCs w:val="24"/>
        </w:rPr>
        <w:t>.</w:t>
      </w:r>
    </w:p>
    <w:p w14:paraId="2642903A" w14:textId="77777777" w:rsidR="003F3866" w:rsidRDefault="003F3866" w:rsidP="00BC4603">
      <w:pPr>
        <w:spacing w:after="0" w:line="480" w:lineRule="auto"/>
        <w:rPr>
          <w:rFonts w:ascii="Times New Roman" w:hAnsi="Times New Roman" w:cs="Times New Roman"/>
          <w:sz w:val="24"/>
          <w:szCs w:val="24"/>
        </w:rPr>
      </w:pPr>
    </w:p>
    <w:p w14:paraId="62A3CA33" w14:textId="77777777" w:rsidR="004425F9" w:rsidRPr="00C56CF8" w:rsidRDefault="00FC5093" w:rsidP="004425F9">
      <w:pPr>
        <w:pStyle w:val="ListParagraph"/>
        <w:numPr>
          <w:ilvl w:val="0"/>
          <w:numId w:val="1"/>
        </w:numPr>
        <w:spacing w:after="0" w:line="480" w:lineRule="auto"/>
        <w:rPr>
          <w:rFonts w:ascii="Times New Roman" w:hAnsi="Times New Roman" w:cs="Times New Roman"/>
          <w:b/>
          <w:sz w:val="24"/>
          <w:szCs w:val="24"/>
        </w:rPr>
      </w:pPr>
      <w:r w:rsidRPr="00C56CF8">
        <w:rPr>
          <w:rFonts w:ascii="Times New Roman" w:hAnsi="Times New Roman" w:cs="Times New Roman"/>
          <w:b/>
          <w:sz w:val="24"/>
          <w:szCs w:val="24"/>
          <w:u w:val="single"/>
        </w:rPr>
        <w:t>CAPACITY STANDARDS</w:t>
      </w:r>
      <w:r>
        <w:rPr>
          <w:rFonts w:ascii="Times New Roman" w:hAnsi="Times New Roman" w:cs="Times New Roman"/>
          <w:b/>
          <w:sz w:val="24"/>
          <w:szCs w:val="24"/>
          <w:u w:val="single"/>
        </w:rPr>
        <w:t xml:space="preserve"> APPLIED</w:t>
      </w:r>
    </w:p>
    <w:p w14:paraId="4090EB28" w14:textId="77777777" w:rsidR="0023562B" w:rsidRDefault="004425F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law is settled that the standard of testamentary capacity governs the validity of wills.  </w:t>
      </w:r>
      <w:r w:rsidR="00F34CC0" w:rsidRPr="00F34CC0">
        <w:rPr>
          <w:rFonts w:ascii="Times New Roman" w:hAnsi="Times New Roman" w:cs="Times New Roman"/>
          <w:sz w:val="24"/>
          <w:szCs w:val="24"/>
          <w:u w:val="single"/>
        </w:rPr>
        <w:t>O’Rourke v. Hunter</w:t>
      </w:r>
      <w:r w:rsidR="00F34CC0" w:rsidRPr="00F34CC0">
        <w:rPr>
          <w:rFonts w:ascii="Times New Roman" w:hAnsi="Times New Roman" w:cs="Times New Roman"/>
          <w:sz w:val="24"/>
          <w:szCs w:val="24"/>
        </w:rPr>
        <w:t>, 446 Mass. 814, 826-27 (2006)</w:t>
      </w:r>
      <w:r>
        <w:rPr>
          <w:rFonts w:ascii="Times New Roman" w:hAnsi="Times New Roman" w:cs="Times New Roman"/>
          <w:sz w:val="24"/>
          <w:szCs w:val="24"/>
        </w:rPr>
        <w:t xml:space="preserve">.  The law is less clear with respect to </w:t>
      </w:r>
      <w:r w:rsidR="007430E7">
        <w:rPr>
          <w:rFonts w:ascii="Times New Roman" w:hAnsi="Times New Roman" w:cs="Times New Roman"/>
          <w:sz w:val="24"/>
          <w:szCs w:val="24"/>
        </w:rPr>
        <w:t>t</w:t>
      </w:r>
      <w:r>
        <w:rPr>
          <w:rFonts w:ascii="Times New Roman" w:hAnsi="Times New Roman" w:cs="Times New Roman"/>
          <w:sz w:val="24"/>
          <w:szCs w:val="24"/>
        </w:rPr>
        <w:t xml:space="preserve">rusts.  </w:t>
      </w:r>
    </w:p>
    <w:p w14:paraId="129A3533" w14:textId="77777777" w:rsidR="004425F9" w:rsidRDefault="004425F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sz w:val="24"/>
          <w:szCs w:val="24"/>
          <w:u w:val="single"/>
        </w:rPr>
        <w:t>Maimonides School v. Coles</w:t>
      </w:r>
      <w:r>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Pr>
          <w:rFonts w:ascii="Times New Roman" w:hAnsi="Times New Roman" w:cs="Times New Roman"/>
          <w:sz w:val="24"/>
          <w:szCs w:val="24"/>
        </w:rPr>
        <w:t xml:space="preserve"> 240 (2008) the appellants argued that the Probate </w:t>
      </w:r>
      <w:r w:rsidR="00813829">
        <w:rPr>
          <w:rFonts w:ascii="Times New Roman" w:hAnsi="Times New Roman" w:cs="Times New Roman"/>
          <w:sz w:val="24"/>
          <w:szCs w:val="24"/>
        </w:rPr>
        <w:t xml:space="preserve">and Family </w:t>
      </w:r>
      <w:r>
        <w:rPr>
          <w:rFonts w:ascii="Times New Roman" w:hAnsi="Times New Roman" w:cs="Times New Roman"/>
          <w:sz w:val="24"/>
          <w:szCs w:val="24"/>
        </w:rPr>
        <w:t xml:space="preserve">Court should have applied the standard of contractual, not testamentary capacity in its review of a trust signed at the same time as a pour-over will.  The </w:t>
      </w:r>
      <w:r w:rsidR="00F05EA2">
        <w:rPr>
          <w:rFonts w:ascii="Times New Roman" w:hAnsi="Times New Roman" w:cs="Times New Roman"/>
          <w:sz w:val="24"/>
          <w:szCs w:val="24"/>
        </w:rPr>
        <w:t>C</w:t>
      </w:r>
      <w:r>
        <w:rPr>
          <w:rFonts w:ascii="Times New Roman" w:hAnsi="Times New Roman" w:cs="Times New Roman"/>
          <w:sz w:val="24"/>
          <w:szCs w:val="24"/>
        </w:rPr>
        <w:t>ourt described the diffe</w:t>
      </w:r>
      <w:r w:rsidR="00574E62">
        <w:rPr>
          <w:rFonts w:ascii="Times New Roman" w:hAnsi="Times New Roman" w:cs="Times New Roman"/>
          <w:sz w:val="24"/>
          <w:szCs w:val="24"/>
        </w:rPr>
        <w:t>rences be</w:t>
      </w:r>
      <w:r>
        <w:rPr>
          <w:rFonts w:ascii="Times New Roman" w:hAnsi="Times New Roman" w:cs="Times New Roman"/>
          <w:sz w:val="24"/>
          <w:szCs w:val="24"/>
        </w:rPr>
        <w:t>tween the standards as follows:</w:t>
      </w:r>
    </w:p>
    <w:p w14:paraId="40F7ACEF" w14:textId="77777777" w:rsidR="004425F9" w:rsidRPr="003F3866" w:rsidRDefault="009E0C41" w:rsidP="009E0C41">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The motion judge evaluated Brener’s competence to execute the second trust amendme</w:t>
      </w:r>
      <w:r w:rsidR="00CB7DE7">
        <w:rPr>
          <w:rFonts w:ascii="Times New Roman" w:hAnsi="Times New Roman" w:cs="Times New Roman"/>
          <w:sz w:val="24"/>
          <w:szCs w:val="24"/>
        </w:rPr>
        <w:t>nt under the standard for testa</w:t>
      </w:r>
      <w:r>
        <w:rPr>
          <w:rFonts w:ascii="Times New Roman" w:hAnsi="Times New Roman" w:cs="Times New Roman"/>
          <w:sz w:val="24"/>
          <w:szCs w:val="24"/>
        </w:rPr>
        <w:t xml:space="preserve">mentary capacity.  </w:t>
      </w:r>
      <w:r w:rsidRPr="00083D1B">
        <w:rPr>
          <w:rFonts w:ascii="Times New Roman" w:hAnsi="Times New Roman" w:cs="Times New Roman"/>
          <w:sz w:val="24"/>
          <w:szCs w:val="24"/>
        </w:rPr>
        <w:t xml:space="preserve">The contestant schools (Maimonides, Perkins, and Carroll) argue that the complexity of Brener’s trust required the motion judge to apply the standard for capacity to contract.  </w:t>
      </w:r>
      <w:r w:rsidRPr="00083D1B">
        <w:rPr>
          <w:rFonts w:ascii="Times New Roman" w:hAnsi="Times New Roman" w:cs="Times New Roman"/>
          <w:sz w:val="24"/>
          <w:szCs w:val="24"/>
          <w:u w:val="single"/>
        </w:rPr>
        <w:t>The capacity to contract requires the ability to transaction business</w:t>
      </w:r>
      <w:r w:rsidR="00CB7DE7" w:rsidRPr="00083D1B">
        <w:rPr>
          <w:rFonts w:ascii="Times New Roman" w:hAnsi="Times New Roman" w:cs="Times New Roman"/>
          <w:sz w:val="24"/>
          <w:szCs w:val="24"/>
        </w:rPr>
        <w:t>,</w:t>
      </w:r>
      <w:r w:rsidR="00726892" w:rsidRPr="00083D1B">
        <w:rPr>
          <w:rFonts w:ascii="Times New Roman" w:hAnsi="Times New Roman" w:cs="Times New Roman"/>
          <w:sz w:val="24"/>
          <w:szCs w:val="24"/>
        </w:rPr>
        <w:t xml:space="preserve"> Krasner v. Berk, 366 Mass. 464, 467 (1974), </w:t>
      </w:r>
      <w:r w:rsidR="00CB7DE7" w:rsidRPr="00083D1B">
        <w:rPr>
          <w:rFonts w:ascii="Times New Roman" w:hAnsi="Times New Roman" w:cs="Times New Roman"/>
          <w:sz w:val="24"/>
          <w:szCs w:val="24"/>
          <w:u w:val="single"/>
        </w:rPr>
        <w:t>and more specifically the ability to ‘understand the nature and quality of the transaction’ and to ‘grasp its significance.’  In contract, the standard for testamentary capacity ‘requires ability at the time of execution of the alleged will to comprehend the nature of the act of making a will.</w:t>
      </w:r>
      <w:r w:rsidR="00CB7DE7">
        <w:rPr>
          <w:rFonts w:ascii="Times New Roman" w:hAnsi="Times New Roman" w:cs="Times New Roman"/>
          <w:sz w:val="24"/>
          <w:szCs w:val="24"/>
        </w:rPr>
        <w:t xml:space="preserve">’  </w:t>
      </w:r>
      <w:r w:rsidR="003F3866">
        <w:rPr>
          <w:rFonts w:ascii="Times New Roman" w:hAnsi="Times New Roman" w:cs="Times New Roman"/>
          <w:sz w:val="24"/>
          <w:szCs w:val="24"/>
          <w:u w:val="single"/>
        </w:rPr>
        <w:t>Palmer v. Palmer</w:t>
      </w:r>
      <w:r w:rsidR="003F3866">
        <w:rPr>
          <w:rFonts w:ascii="Times New Roman" w:hAnsi="Times New Roman" w:cs="Times New Roman"/>
          <w:sz w:val="24"/>
          <w:szCs w:val="24"/>
        </w:rPr>
        <w:t xml:space="preserve">, 23 </w:t>
      </w:r>
      <w:r w:rsidR="00C15452">
        <w:rPr>
          <w:rFonts w:ascii="Times New Roman" w:hAnsi="Times New Roman" w:cs="Times New Roman"/>
          <w:sz w:val="24"/>
          <w:szCs w:val="24"/>
        </w:rPr>
        <w:t>Mass. App. Ct.</w:t>
      </w:r>
      <w:r w:rsidR="003F3866">
        <w:rPr>
          <w:rFonts w:ascii="Times New Roman" w:hAnsi="Times New Roman" w:cs="Times New Roman"/>
          <w:sz w:val="24"/>
          <w:szCs w:val="24"/>
        </w:rPr>
        <w:t xml:space="preserve"> 245, 250 (1986), </w:t>
      </w:r>
      <w:r w:rsidR="003F3866">
        <w:rPr>
          <w:rFonts w:ascii="Times New Roman" w:hAnsi="Times New Roman" w:cs="Times New Roman"/>
          <w:i/>
          <w:sz w:val="24"/>
          <w:szCs w:val="24"/>
        </w:rPr>
        <w:t>quoting</w:t>
      </w:r>
      <w:r w:rsidR="003F3866">
        <w:rPr>
          <w:rFonts w:ascii="Times New Roman" w:hAnsi="Times New Roman" w:cs="Times New Roman"/>
          <w:sz w:val="24"/>
          <w:szCs w:val="24"/>
        </w:rPr>
        <w:t xml:space="preserve"> from </w:t>
      </w:r>
      <w:r w:rsidR="003F3866" w:rsidRPr="003F3866">
        <w:rPr>
          <w:rFonts w:ascii="Times New Roman" w:hAnsi="Times New Roman" w:cs="Times New Roman"/>
          <w:sz w:val="24"/>
          <w:szCs w:val="24"/>
          <w:u w:val="single"/>
        </w:rPr>
        <w:t>Goddard v. Dupree</w:t>
      </w:r>
      <w:r w:rsidR="003F3866">
        <w:rPr>
          <w:rFonts w:ascii="Times New Roman" w:hAnsi="Times New Roman" w:cs="Times New Roman"/>
          <w:i/>
          <w:sz w:val="24"/>
          <w:szCs w:val="24"/>
        </w:rPr>
        <w:t>,</w:t>
      </w:r>
      <w:r w:rsidR="003F3866">
        <w:rPr>
          <w:rFonts w:ascii="Times New Roman" w:hAnsi="Times New Roman" w:cs="Times New Roman"/>
          <w:sz w:val="24"/>
          <w:szCs w:val="24"/>
        </w:rPr>
        <w:t xml:space="preserve"> 322 Mass. 247, 250 (1948).  </w:t>
      </w:r>
    </w:p>
    <w:p w14:paraId="78B22AA2" w14:textId="77777777" w:rsidR="004425F9" w:rsidRDefault="004425F9" w:rsidP="009E0C41">
      <w:pPr>
        <w:spacing w:after="0" w:line="240" w:lineRule="auto"/>
        <w:ind w:firstLine="720"/>
        <w:rPr>
          <w:rFonts w:ascii="Times New Roman" w:hAnsi="Times New Roman" w:cs="Times New Roman"/>
          <w:sz w:val="24"/>
          <w:szCs w:val="24"/>
        </w:rPr>
      </w:pPr>
    </w:p>
    <w:p w14:paraId="661A7293" w14:textId="77777777" w:rsidR="004425F9" w:rsidRPr="00CB7DE7" w:rsidRDefault="004425F9" w:rsidP="004425F9">
      <w:pPr>
        <w:spacing w:after="0" w:line="480" w:lineRule="auto"/>
        <w:rPr>
          <w:rFonts w:ascii="Times New Roman" w:hAnsi="Times New Roman" w:cs="Times New Roman"/>
          <w:sz w:val="24"/>
          <w:szCs w:val="24"/>
        </w:rPr>
      </w:pPr>
      <w:r>
        <w:rPr>
          <w:rFonts w:ascii="Times New Roman" w:hAnsi="Times New Roman" w:cs="Times New Roman"/>
          <w:sz w:val="24"/>
          <w:szCs w:val="24"/>
          <w:u w:val="single"/>
        </w:rPr>
        <w:t>Id.</w:t>
      </w:r>
      <w:r>
        <w:rPr>
          <w:rFonts w:ascii="Times New Roman" w:hAnsi="Times New Roman" w:cs="Times New Roman"/>
          <w:sz w:val="24"/>
          <w:szCs w:val="24"/>
        </w:rPr>
        <w:t>, 251</w:t>
      </w:r>
      <w:r w:rsidR="00CB7DE7">
        <w:rPr>
          <w:rFonts w:ascii="Times New Roman" w:hAnsi="Times New Roman" w:cs="Times New Roman"/>
          <w:sz w:val="24"/>
          <w:szCs w:val="24"/>
        </w:rPr>
        <w:t xml:space="preserve">.  </w:t>
      </w:r>
    </w:p>
    <w:p w14:paraId="1FAA56A2" w14:textId="77777777" w:rsidR="004425F9" w:rsidRDefault="00083D1B"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court held that </w:t>
      </w:r>
      <w:r w:rsidR="00303925">
        <w:rPr>
          <w:rFonts w:ascii="Times New Roman" w:hAnsi="Times New Roman" w:cs="Times New Roman"/>
          <w:sz w:val="24"/>
          <w:szCs w:val="24"/>
        </w:rPr>
        <w:t xml:space="preserve">testamentary capacity </w:t>
      </w:r>
      <w:r>
        <w:rPr>
          <w:rFonts w:ascii="Times New Roman" w:hAnsi="Times New Roman" w:cs="Times New Roman"/>
          <w:sz w:val="24"/>
          <w:szCs w:val="24"/>
        </w:rPr>
        <w:t xml:space="preserve">governed </w:t>
      </w:r>
      <w:r w:rsidR="00303925">
        <w:rPr>
          <w:rFonts w:ascii="Times New Roman" w:hAnsi="Times New Roman" w:cs="Times New Roman"/>
          <w:sz w:val="24"/>
          <w:szCs w:val="24"/>
        </w:rPr>
        <w:t>based on three factors:</w:t>
      </w:r>
    </w:p>
    <w:p w14:paraId="64CA4789" w14:textId="77777777" w:rsidR="00303925" w:rsidRPr="008B1032" w:rsidRDefault="00303925" w:rsidP="00213D2F">
      <w:pPr>
        <w:tabs>
          <w:tab w:val="left" w:pos="1440"/>
          <w:tab w:val="left" w:pos="2160"/>
        </w:tabs>
        <w:spacing w:after="0" w:line="240" w:lineRule="auto"/>
        <w:ind w:left="2160" w:hanging="2160"/>
        <w:rPr>
          <w:rFonts w:ascii="Times New Roman" w:hAnsi="Times New Roman" w:cs="Times New Roman"/>
          <w:sz w:val="24"/>
          <w:szCs w:val="24"/>
        </w:rPr>
      </w:pPr>
      <w:r w:rsidRPr="008B1032">
        <w:rPr>
          <w:rFonts w:ascii="Times New Roman" w:hAnsi="Times New Roman" w:cs="Times New Roman"/>
          <w:sz w:val="24"/>
          <w:szCs w:val="24"/>
        </w:rPr>
        <w:tab/>
        <w:t>1.</w:t>
      </w:r>
      <w:r w:rsidRPr="008B1032">
        <w:rPr>
          <w:rFonts w:ascii="Times New Roman" w:hAnsi="Times New Roman" w:cs="Times New Roman"/>
          <w:sz w:val="24"/>
          <w:szCs w:val="24"/>
        </w:rPr>
        <w:tab/>
        <w:t xml:space="preserve">The </w:t>
      </w:r>
      <w:r w:rsidR="00F05EA2">
        <w:rPr>
          <w:rFonts w:ascii="Times New Roman" w:hAnsi="Times New Roman" w:cs="Times New Roman"/>
          <w:sz w:val="24"/>
          <w:szCs w:val="24"/>
        </w:rPr>
        <w:t>“</w:t>
      </w:r>
      <w:r w:rsidRPr="008B1032">
        <w:rPr>
          <w:rFonts w:ascii="Times New Roman" w:hAnsi="Times New Roman" w:cs="Times New Roman"/>
          <w:sz w:val="24"/>
          <w:szCs w:val="24"/>
        </w:rPr>
        <w:t xml:space="preserve">trust instruments were not complex, even though they disposed of property worth millions of dollars.  They did not require </w:t>
      </w:r>
      <w:r w:rsidR="008B1032" w:rsidRPr="008B1032">
        <w:rPr>
          <w:rFonts w:ascii="Times New Roman" w:hAnsi="Times New Roman" w:cs="Times New Roman"/>
          <w:sz w:val="24"/>
          <w:szCs w:val="24"/>
        </w:rPr>
        <w:t>contractual capacity for their intelligent creation and execution.</w:t>
      </w:r>
      <w:r w:rsidR="00F05EA2">
        <w:rPr>
          <w:rFonts w:ascii="Times New Roman" w:hAnsi="Times New Roman" w:cs="Times New Roman"/>
          <w:sz w:val="24"/>
          <w:szCs w:val="24"/>
        </w:rPr>
        <w:t>”</w:t>
      </w:r>
      <w:r w:rsidR="008B1032" w:rsidRPr="008B1032">
        <w:rPr>
          <w:rFonts w:ascii="Times New Roman" w:hAnsi="Times New Roman" w:cs="Times New Roman"/>
          <w:sz w:val="24"/>
          <w:szCs w:val="24"/>
        </w:rPr>
        <w:t xml:space="preserve">  </w:t>
      </w:r>
      <w:r w:rsidR="008B1032" w:rsidRPr="008B1032">
        <w:rPr>
          <w:rFonts w:ascii="Times New Roman" w:hAnsi="Times New Roman" w:cs="Times New Roman"/>
          <w:sz w:val="24"/>
          <w:szCs w:val="24"/>
          <w:u w:val="single"/>
        </w:rPr>
        <w:t>Id.</w:t>
      </w:r>
      <w:r w:rsidR="00F05EA2">
        <w:rPr>
          <w:rFonts w:ascii="Times New Roman" w:hAnsi="Times New Roman" w:cs="Times New Roman"/>
          <w:sz w:val="24"/>
          <w:szCs w:val="24"/>
        </w:rPr>
        <w:t>, p. 251.</w:t>
      </w:r>
      <w:r w:rsidR="008B1032" w:rsidRPr="008B1032">
        <w:rPr>
          <w:rFonts w:ascii="Times New Roman" w:hAnsi="Times New Roman" w:cs="Times New Roman"/>
          <w:sz w:val="24"/>
          <w:szCs w:val="24"/>
        </w:rPr>
        <w:t xml:space="preserve">  </w:t>
      </w:r>
    </w:p>
    <w:p w14:paraId="3F2745EF" w14:textId="77777777" w:rsidR="008B1032" w:rsidRDefault="008B1032" w:rsidP="00213D2F">
      <w:pPr>
        <w:tabs>
          <w:tab w:val="left" w:pos="1440"/>
          <w:tab w:val="left" w:pos="2160"/>
        </w:tabs>
        <w:spacing w:after="0" w:line="240" w:lineRule="auto"/>
      </w:pPr>
    </w:p>
    <w:p w14:paraId="60B2C2A1" w14:textId="77777777" w:rsidR="008B1032" w:rsidRDefault="008B1032" w:rsidP="00213D2F">
      <w:pPr>
        <w:tabs>
          <w:tab w:val="left" w:pos="1440"/>
          <w:tab w:val="left" w:pos="2160"/>
        </w:tabs>
        <w:spacing w:after="0" w:line="240" w:lineRule="auto"/>
        <w:ind w:left="2160" w:hanging="2160"/>
        <w:rPr>
          <w:rFonts w:ascii="Times New Roman" w:hAnsi="Times New Roman" w:cs="Times New Roman"/>
          <w:sz w:val="24"/>
          <w:szCs w:val="24"/>
        </w:rPr>
      </w:pPr>
      <w:r w:rsidRPr="008B1032">
        <w:rPr>
          <w:rFonts w:ascii="Times New Roman" w:hAnsi="Times New Roman" w:cs="Times New Roman"/>
          <w:sz w:val="24"/>
          <w:szCs w:val="24"/>
        </w:rPr>
        <w:tab/>
      </w:r>
      <w:r>
        <w:rPr>
          <w:rFonts w:ascii="Times New Roman" w:hAnsi="Times New Roman" w:cs="Times New Roman"/>
          <w:sz w:val="24"/>
          <w:szCs w:val="24"/>
        </w:rPr>
        <w:t>2</w:t>
      </w:r>
      <w:r w:rsidRPr="008B1032">
        <w:rPr>
          <w:rFonts w:ascii="Times New Roman" w:hAnsi="Times New Roman" w:cs="Times New Roman"/>
          <w:sz w:val="24"/>
          <w:szCs w:val="24"/>
        </w:rPr>
        <w:t>.</w:t>
      </w:r>
      <w:r w:rsidRPr="008B1032">
        <w:rPr>
          <w:rFonts w:ascii="Times New Roman" w:hAnsi="Times New Roman" w:cs="Times New Roman"/>
          <w:sz w:val="24"/>
          <w:szCs w:val="24"/>
        </w:rPr>
        <w:tab/>
      </w:r>
      <w:r>
        <w:rPr>
          <w:rFonts w:ascii="Times New Roman" w:hAnsi="Times New Roman" w:cs="Times New Roman"/>
          <w:sz w:val="24"/>
          <w:szCs w:val="24"/>
        </w:rPr>
        <w:t>The trust disposed “of property not during the testator’s lifetime in the manner of a more traditional inter vivos trust, but after death in the manner of a will</w:t>
      </w:r>
      <w:r w:rsidRPr="008B1032">
        <w:rPr>
          <w:rFonts w:ascii="Times New Roman" w:hAnsi="Times New Roman" w:cs="Times New Roman"/>
          <w:sz w:val="24"/>
          <w:szCs w:val="24"/>
        </w:rPr>
        <w:t>.</w:t>
      </w:r>
      <w:r>
        <w:rPr>
          <w:rFonts w:ascii="Times New Roman" w:hAnsi="Times New Roman" w:cs="Times New Roman"/>
          <w:sz w:val="24"/>
          <w:szCs w:val="24"/>
        </w:rPr>
        <w:t xml:space="preserve">”  </w:t>
      </w:r>
      <w:r w:rsidRPr="008B1032">
        <w:rPr>
          <w:rFonts w:ascii="Times New Roman" w:hAnsi="Times New Roman" w:cs="Times New Roman"/>
          <w:sz w:val="24"/>
          <w:szCs w:val="24"/>
          <w:u w:val="single"/>
        </w:rPr>
        <w:t>Id.</w:t>
      </w:r>
      <w:r w:rsidRPr="008B1032">
        <w:rPr>
          <w:rFonts w:ascii="Times New Roman" w:hAnsi="Times New Roman" w:cs="Times New Roman"/>
          <w:sz w:val="24"/>
          <w:szCs w:val="24"/>
        </w:rPr>
        <w:t xml:space="preserve">  </w:t>
      </w:r>
    </w:p>
    <w:p w14:paraId="44E18E67" w14:textId="77777777" w:rsidR="00F65A67" w:rsidRDefault="00F65A67" w:rsidP="00213D2F">
      <w:pPr>
        <w:tabs>
          <w:tab w:val="left" w:pos="1440"/>
          <w:tab w:val="left" w:pos="2160"/>
        </w:tabs>
        <w:spacing w:after="0" w:line="240" w:lineRule="auto"/>
        <w:ind w:left="2160" w:hanging="2160"/>
        <w:rPr>
          <w:rFonts w:ascii="Times New Roman" w:hAnsi="Times New Roman" w:cs="Times New Roman"/>
          <w:sz w:val="24"/>
          <w:szCs w:val="24"/>
        </w:rPr>
      </w:pPr>
    </w:p>
    <w:p w14:paraId="1C20DF2F" w14:textId="77777777" w:rsidR="00F65A67" w:rsidRDefault="00F65A67" w:rsidP="00213D2F">
      <w:pPr>
        <w:tabs>
          <w:tab w:val="left" w:pos="1440"/>
          <w:tab w:val="left" w:pos="2160"/>
        </w:tabs>
        <w:spacing w:after="0" w:line="240" w:lineRule="auto"/>
        <w:ind w:left="2160" w:hanging="2160"/>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000D27C2">
        <w:rPr>
          <w:rFonts w:ascii="Times New Roman" w:hAnsi="Times New Roman" w:cs="Times New Roman"/>
          <w:sz w:val="24"/>
          <w:szCs w:val="24"/>
        </w:rPr>
        <w:t>The</w:t>
      </w:r>
      <w:r w:rsidR="003A02FC">
        <w:rPr>
          <w:rFonts w:ascii="Times New Roman" w:hAnsi="Times New Roman" w:cs="Times New Roman"/>
          <w:sz w:val="24"/>
          <w:szCs w:val="24"/>
        </w:rPr>
        <w:t xml:space="preserve"> pour-over will and trust “comprised ‘parts of an integrated whole.’  </w:t>
      </w:r>
      <w:r w:rsidR="003A02FC">
        <w:rPr>
          <w:rFonts w:ascii="Times New Roman" w:hAnsi="Times New Roman" w:cs="Times New Roman"/>
          <w:sz w:val="24"/>
          <w:szCs w:val="24"/>
          <w:u w:val="single"/>
        </w:rPr>
        <w:t>Id.</w:t>
      </w:r>
      <w:r w:rsidR="003A02FC">
        <w:rPr>
          <w:rFonts w:ascii="Times New Roman" w:hAnsi="Times New Roman" w:cs="Times New Roman"/>
          <w:sz w:val="24"/>
          <w:szCs w:val="24"/>
        </w:rPr>
        <w:t xml:space="preserve">, </w:t>
      </w:r>
      <w:r w:rsidR="003A02FC">
        <w:rPr>
          <w:rFonts w:ascii="Times New Roman" w:hAnsi="Times New Roman" w:cs="Times New Roman"/>
          <w:i/>
          <w:sz w:val="24"/>
          <w:szCs w:val="24"/>
        </w:rPr>
        <w:t>quoting</w:t>
      </w:r>
      <w:r w:rsidR="003A02FC">
        <w:rPr>
          <w:rFonts w:ascii="Times New Roman" w:hAnsi="Times New Roman" w:cs="Times New Roman"/>
          <w:sz w:val="24"/>
          <w:szCs w:val="24"/>
        </w:rPr>
        <w:t xml:space="preserve"> </w:t>
      </w:r>
      <w:r w:rsidR="003A02FC">
        <w:rPr>
          <w:rFonts w:ascii="Times New Roman" w:hAnsi="Times New Roman" w:cs="Times New Roman"/>
          <w:sz w:val="24"/>
          <w:szCs w:val="24"/>
          <w:u w:val="single"/>
        </w:rPr>
        <w:t>Clymer v. Mayo</w:t>
      </w:r>
      <w:r w:rsidR="003A02FC">
        <w:rPr>
          <w:rFonts w:ascii="Times New Roman" w:hAnsi="Times New Roman" w:cs="Times New Roman"/>
          <w:sz w:val="24"/>
          <w:szCs w:val="24"/>
        </w:rPr>
        <w:t>, 393 Mass. 754, 765 (1985).  In this light, “[t]he use of one standard for mental capacity to execute a pour-over will and another standard to execute a simultaneous revocable inter vivos trust would unnecessarily</w:t>
      </w:r>
      <w:r w:rsidR="008D38AA">
        <w:rPr>
          <w:rFonts w:ascii="Times New Roman" w:hAnsi="Times New Roman" w:cs="Times New Roman"/>
          <w:sz w:val="24"/>
          <w:szCs w:val="24"/>
        </w:rPr>
        <w:t xml:space="preserve"> and impractically risk inconsistent results.  </w:t>
      </w:r>
      <w:r w:rsidR="008D38AA">
        <w:rPr>
          <w:rFonts w:ascii="Times New Roman" w:hAnsi="Times New Roman" w:cs="Times New Roman"/>
          <w:sz w:val="24"/>
          <w:szCs w:val="24"/>
          <w:u w:val="single"/>
        </w:rPr>
        <w:t>Id.</w:t>
      </w:r>
    </w:p>
    <w:p w14:paraId="341ED8C7" w14:textId="77777777" w:rsidR="008D38AA" w:rsidRDefault="008D38AA" w:rsidP="008B1032">
      <w:pPr>
        <w:spacing w:after="0" w:line="240" w:lineRule="auto"/>
        <w:rPr>
          <w:rFonts w:ascii="Times New Roman" w:hAnsi="Times New Roman" w:cs="Times New Roman"/>
          <w:sz w:val="24"/>
          <w:szCs w:val="24"/>
        </w:rPr>
      </w:pPr>
    </w:p>
    <w:p w14:paraId="1E6F27CE" w14:textId="77777777" w:rsidR="008D38AA" w:rsidRDefault="008D38AA" w:rsidP="008D38A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decision leaves unanswered whether an irrevocable </w:t>
      </w:r>
      <w:r w:rsidRPr="009C07E5">
        <w:rPr>
          <w:rFonts w:ascii="Times New Roman" w:hAnsi="Times New Roman" w:cs="Times New Roman"/>
          <w:i/>
          <w:sz w:val="24"/>
          <w:szCs w:val="24"/>
        </w:rPr>
        <w:t>inter vivos</w:t>
      </w:r>
      <w:r>
        <w:rPr>
          <w:rFonts w:ascii="Times New Roman" w:hAnsi="Times New Roman" w:cs="Times New Roman"/>
          <w:sz w:val="24"/>
          <w:szCs w:val="24"/>
        </w:rPr>
        <w:t xml:space="preserve"> trust must satisfy the requirements of testamentary or contractual capacity.  The decision plainly suggests that the more complex </w:t>
      </w:r>
      <w:r w:rsidR="00880493">
        <w:rPr>
          <w:rFonts w:ascii="Times New Roman" w:hAnsi="Times New Roman" w:cs="Times New Roman"/>
          <w:sz w:val="24"/>
          <w:szCs w:val="24"/>
        </w:rPr>
        <w:t>the trust scheme and the greater the impact on the settlor’s finances and affairs for the balance of his or her life, the more likely the court will find contractual capacity to govern.</w:t>
      </w:r>
    </w:p>
    <w:p w14:paraId="2956D7B0" w14:textId="77777777" w:rsidR="00027E27" w:rsidRDefault="00027E27" w:rsidP="00027E27">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UNDUE INFLUENCE</w:t>
      </w:r>
    </w:p>
    <w:p w14:paraId="039D4A37" w14:textId="77777777" w:rsidR="00027E27" w:rsidRPr="00912879" w:rsidRDefault="00027E27" w:rsidP="0014017E">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b/>
      </w:r>
    </w:p>
    <w:p w14:paraId="4434DA33" w14:textId="77777777" w:rsidR="00027E27" w:rsidRPr="00172E17" w:rsidRDefault="00027E27" w:rsidP="00027E2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Pr="00172E17">
        <w:rPr>
          <w:rFonts w:ascii="Times New Roman" w:hAnsi="Times New Roman" w:cs="Times New Roman"/>
          <w:sz w:val="24"/>
          <w:szCs w:val="24"/>
        </w:rPr>
        <w:t xml:space="preserve">“Undue influence … creates a situation where the victim’s own free will is destroyed or overcome such that what he does, his action, is contrary to his true desire and free will.” </w:t>
      </w:r>
      <w:r w:rsidRPr="00172E17">
        <w:rPr>
          <w:rFonts w:ascii="Times New Roman" w:hAnsi="Times New Roman" w:cs="Times New Roman"/>
          <w:i/>
          <w:sz w:val="24"/>
          <w:szCs w:val="24"/>
        </w:rPr>
        <w:t xml:space="preserve">Howe v. Palmer, </w:t>
      </w:r>
      <w:r w:rsidRPr="00172E17">
        <w:rPr>
          <w:rFonts w:ascii="Times New Roman" w:hAnsi="Times New Roman" w:cs="Times New Roman"/>
          <w:sz w:val="24"/>
          <w:szCs w:val="24"/>
        </w:rPr>
        <w:t xml:space="preserve">80 Mass. App. Ct. 736, 740 (2011), </w:t>
      </w:r>
      <w:r w:rsidRPr="00172E17">
        <w:rPr>
          <w:rFonts w:ascii="Times New Roman" w:hAnsi="Times New Roman" w:cs="Times New Roman"/>
          <w:i/>
          <w:sz w:val="24"/>
          <w:szCs w:val="24"/>
        </w:rPr>
        <w:t>citing</w:t>
      </w:r>
      <w:r w:rsidRPr="00172E17">
        <w:rPr>
          <w:rFonts w:ascii="Times New Roman" w:hAnsi="Times New Roman" w:cs="Times New Roman"/>
          <w:sz w:val="24"/>
          <w:szCs w:val="24"/>
        </w:rPr>
        <w:t xml:space="preserve"> </w:t>
      </w:r>
      <w:r w:rsidRPr="00172E17">
        <w:rPr>
          <w:rFonts w:ascii="Times New Roman" w:hAnsi="Times New Roman" w:cs="Times New Roman"/>
          <w:i/>
          <w:sz w:val="24"/>
          <w:szCs w:val="24"/>
        </w:rPr>
        <w:t>Neill v. Brackett</w:t>
      </w:r>
      <w:r w:rsidRPr="00172E17">
        <w:rPr>
          <w:rFonts w:ascii="Times New Roman" w:hAnsi="Times New Roman" w:cs="Times New Roman"/>
          <w:sz w:val="24"/>
          <w:szCs w:val="24"/>
        </w:rPr>
        <w:t>, 234 Mass. 367, 369-370 (1920);</w:t>
      </w:r>
      <w:r w:rsidRPr="00172E17">
        <w:rPr>
          <w:rFonts w:ascii="Times New Roman" w:hAnsi="Times New Roman" w:cs="Times New Roman"/>
          <w:i/>
          <w:sz w:val="24"/>
          <w:szCs w:val="24"/>
        </w:rPr>
        <w:t xml:space="preserve"> Rood v. Newberg</w:t>
      </w:r>
      <w:r w:rsidRPr="00172E17">
        <w:rPr>
          <w:rFonts w:ascii="Times New Roman" w:hAnsi="Times New Roman" w:cs="Times New Roman"/>
          <w:sz w:val="24"/>
          <w:szCs w:val="24"/>
        </w:rPr>
        <w:t xml:space="preserve">, 48 Mass. App. Ct. 185, 191-192 (1999). “Undue influence involves some form of compulsion which coerces a person into doing something the person does not want to do.”  </w:t>
      </w:r>
      <w:r w:rsidRPr="00172E17">
        <w:rPr>
          <w:rFonts w:ascii="Times New Roman" w:hAnsi="Times New Roman" w:cs="Times New Roman"/>
          <w:i/>
          <w:sz w:val="24"/>
          <w:szCs w:val="24"/>
        </w:rPr>
        <w:t>Tetrault v. Mahoney, Hawkes &amp; Goldings</w:t>
      </w:r>
      <w:r w:rsidRPr="00172E17">
        <w:rPr>
          <w:rFonts w:ascii="Times New Roman" w:hAnsi="Times New Roman" w:cs="Times New Roman"/>
          <w:sz w:val="24"/>
          <w:szCs w:val="24"/>
        </w:rPr>
        <w:t xml:space="preserve">, 425 Mass. 456, 464 (1997).  “[T]he standard of proof is demanding.  ‘Mere suspicion, surmise or conjecture are not enough to warrant a finding of undue influence.  There must be a solid foundation of established facts upon which to rest an inference of its existence.’”  </w:t>
      </w:r>
      <w:r w:rsidRPr="00172E17">
        <w:rPr>
          <w:rFonts w:ascii="Times New Roman" w:hAnsi="Times New Roman" w:cs="Times New Roman"/>
          <w:i/>
          <w:sz w:val="24"/>
          <w:szCs w:val="24"/>
        </w:rPr>
        <w:t xml:space="preserve">Maimonides School v. Coles, </w:t>
      </w:r>
      <w:r w:rsidRPr="00172E17">
        <w:rPr>
          <w:rFonts w:ascii="Times New Roman" w:hAnsi="Times New Roman" w:cs="Times New Roman"/>
          <w:sz w:val="24"/>
          <w:szCs w:val="24"/>
        </w:rPr>
        <w:t xml:space="preserve">71 Mass. App. Ct. 240, 256 (2008) (summary judgment dismissal of undue influence claim upheld), </w:t>
      </w:r>
      <w:r w:rsidRPr="00172E17">
        <w:rPr>
          <w:rFonts w:ascii="Times New Roman" w:hAnsi="Times New Roman" w:cs="Times New Roman"/>
          <w:i/>
          <w:sz w:val="24"/>
          <w:szCs w:val="24"/>
        </w:rPr>
        <w:t>quoting Neill v. Brackett</w:t>
      </w:r>
      <w:r w:rsidRPr="00172E17">
        <w:rPr>
          <w:rFonts w:ascii="Times New Roman" w:hAnsi="Times New Roman" w:cs="Times New Roman"/>
          <w:sz w:val="24"/>
          <w:szCs w:val="24"/>
        </w:rPr>
        <w:t xml:space="preserve">, 234 Mass. 367, 370 (1920).  </w:t>
      </w:r>
    </w:p>
    <w:p w14:paraId="3AA3B589" w14:textId="77777777" w:rsidR="00027E27" w:rsidRPr="00172E1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To prove undue influence the complaining heir or beneficiary “must show ‘that an (1) unnatural disposition has been made (2) by a person susceptible to undue influence to the advantage of someone (3) with an opportunity to exercise undue influence and (4) who in fact has used that opportunity to procure the contested disposition through improper means.”  </w:t>
      </w:r>
      <w:r w:rsidRPr="00172E17">
        <w:rPr>
          <w:rFonts w:ascii="Times New Roman" w:hAnsi="Times New Roman" w:cs="Times New Roman"/>
          <w:i/>
          <w:sz w:val="24"/>
          <w:szCs w:val="24"/>
        </w:rPr>
        <w:lastRenderedPageBreak/>
        <w:t>O’Rourke v. Hunter</w:t>
      </w:r>
      <w:r w:rsidRPr="00172E17">
        <w:rPr>
          <w:rFonts w:ascii="Times New Roman" w:hAnsi="Times New Roman" w:cs="Times New Roman"/>
          <w:sz w:val="24"/>
          <w:szCs w:val="24"/>
        </w:rPr>
        <w:t xml:space="preserve">, 446 Mass. at 828, quoting from </w:t>
      </w:r>
      <w:r w:rsidRPr="00172E17">
        <w:rPr>
          <w:rFonts w:ascii="Times New Roman" w:hAnsi="Times New Roman" w:cs="Times New Roman"/>
          <w:i/>
          <w:sz w:val="24"/>
          <w:szCs w:val="24"/>
        </w:rPr>
        <w:t>Tetrault v. Mahoney, Hawkes &amp; Goldings</w:t>
      </w:r>
      <w:r w:rsidRPr="00172E17">
        <w:rPr>
          <w:rFonts w:ascii="Times New Roman" w:hAnsi="Times New Roman" w:cs="Times New Roman"/>
          <w:sz w:val="24"/>
          <w:szCs w:val="24"/>
        </w:rPr>
        <w:t xml:space="preserve">, 425 Mass 456, 464 (1997).  </w:t>
      </w:r>
    </w:p>
    <w:p w14:paraId="35782EE6" w14:textId="77777777" w:rsidR="00027E27" w:rsidRPr="00172E1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"A finding of undue influence requires that the will makes ‘an unnatural disposition,’ i.e., that the testator is caused to act in a way which is contrary to her own untrammeled desire." </w:t>
      </w:r>
      <w:r w:rsidRPr="00172E17">
        <w:rPr>
          <w:rFonts w:ascii="Times New Roman" w:hAnsi="Times New Roman" w:cs="Times New Roman"/>
          <w:i/>
          <w:sz w:val="24"/>
          <w:szCs w:val="24"/>
        </w:rPr>
        <w:t>McGeoghean v. McGeoghean</w:t>
      </w:r>
      <w:r w:rsidRPr="00172E17">
        <w:rPr>
          <w:rFonts w:ascii="Times New Roman" w:hAnsi="Times New Roman" w:cs="Times New Roman"/>
          <w:sz w:val="24"/>
          <w:szCs w:val="24"/>
        </w:rPr>
        <w:t xml:space="preserve">, No. 04P-4734EP1, 2009 WL 2230884, at *5 n.6 (Mass. Super. 2009) (property deed held "an unnatural disposition" in view of donor's promises regarding the property to another child and his reliance thereon).  </w:t>
      </w:r>
    </w:p>
    <w:p w14:paraId="5EABF722" w14:textId="77777777" w:rsidR="00027E27" w:rsidRDefault="00027E27" w:rsidP="00027E27">
      <w:pPr>
        <w:spacing w:after="0" w:line="480" w:lineRule="auto"/>
        <w:ind w:firstLine="720"/>
        <w:rPr>
          <w:rFonts w:ascii="Times New Roman" w:hAnsi="Times New Roman" w:cs="Times New Roman"/>
          <w:sz w:val="24"/>
          <w:szCs w:val="24"/>
        </w:rPr>
      </w:pPr>
      <w:r w:rsidRPr="00172E17">
        <w:rPr>
          <w:rFonts w:ascii="Times New Roman" w:hAnsi="Times New Roman" w:cs="Times New Roman"/>
          <w:sz w:val="24"/>
          <w:szCs w:val="24"/>
        </w:rPr>
        <w:t xml:space="preserve">Not surprisingly, contestants generally allege that the testator was susceptible to undue influence (the second element in the test above) due to the testator’s incapacity or diminished capacity.  </w:t>
      </w:r>
      <w:r w:rsidRPr="00172E17">
        <w:rPr>
          <w:rFonts w:ascii="Times New Roman" w:hAnsi="Times New Roman" w:cs="Times New Roman"/>
          <w:i/>
          <w:sz w:val="24"/>
          <w:szCs w:val="24"/>
        </w:rPr>
        <w:t>See, e.g., Howe v. Palmer</w:t>
      </w:r>
      <w:r w:rsidRPr="00172E17">
        <w:rPr>
          <w:rFonts w:ascii="Times New Roman" w:hAnsi="Times New Roman" w:cs="Times New Roman"/>
          <w:sz w:val="24"/>
          <w:szCs w:val="24"/>
        </w:rPr>
        <w:t>, 80 Mass. App. Ct. 736 (2011)</w:t>
      </w:r>
      <w:r w:rsidRPr="00172E17">
        <w:rPr>
          <w:rFonts w:ascii="Times New Roman" w:hAnsi="Times New Roman" w:cs="Times New Roman"/>
          <w:i/>
          <w:sz w:val="24"/>
          <w:szCs w:val="24"/>
        </w:rPr>
        <w:t xml:space="preserve"> </w:t>
      </w:r>
      <w:r w:rsidRPr="00172E17">
        <w:rPr>
          <w:rFonts w:ascii="Times New Roman" w:hAnsi="Times New Roman" w:cs="Times New Roman"/>
          <w:sz w:val="24"/>
          <w:szCs w:val="24"/>
        </w:rPr>
        <w:t xml:space="preserve">(diminished capacity alleged); </w:t>
      </w:r>
      <w:r w:rsidRPr="00172E17">
        <w:rPr>
          <w:rFonts w:ascii="Times New Roman" w:hAnsi="Times New Roman" w:cs="Times New Roman"/>
          <w:i/>
          <w:sz w:val="24"/>
          <w:szCs w:val="24"/>
        </w:rPr>
        <w:t>Adler v. Adler</w:t>
      </w:r>
      <w:r w:rsidRPr="00172E17">
        <w:rPr>
          <w:rFonts w:ascii="Times New Roman" w:hAnsi="Times New Roman" w:cs="Times New Roman"/>
          <w:sz w:val="24"/>
          <w:szCs w:val="24"/>
        </w:rPr>
        <w:t xml:space="preserve">, </w:t>
      </w:r>
      <w:r w:rsidR="004C75A6">
        <w:rPr>
          <w:rFonts w:ascii="Times New Roman" w:hAnsi="Times New Roman" w:cs="Times New Roman"/>
          <w:sz w:val="24"/>
          <w:szCs w:val="24"/>
        </w:rPr>
        <w:t xml:space="preserve">83 Mass. App. Ct. 1135, </w:t>
      </w:r>
      <w:r w:rsidRPr="00172E17">
        <w:rPr>
          <w:rFonts w:ascii="Times New Roman" w:hAnsi="Times New Roman" w:cs="Times New Roman"/>
          <w:sz w:val="24"/>
          <w:szCs w:val="24"/>
        </w:rPr>
        <w:t xml:space="preserve">2013 WL 2450576 (Jun. 7, 2013, Mass. App. Ct.) (Rule 1:28 decision) (incapacity claimed); </w:t>
      </w:r>
      <w:r w:rsidRPr="00172E17">
        <w:rPr>
          <w:rFonts w:ascii="Times New Roman" w:hAnsi="Times New Roman" w:cs="Times New Roman"/>
          <w:i/>
          <w:sz w:val="24"/>
          <w:szCs w:val="24"/>
        </w:rPr>
        <w:t>In Re Estate of Tang</w:t>
      </w:r>
      <w:r w:rsidRPr="00172E17">
        <w:rPr>
          <w:rFonts w:ascii="Times New Roman" w:hAnsi="Times New Roman" w:cs="Times New Roman"/>
          <w:sz w:val="24"/>
          <w:szCs w:val="24"/>
        </w:rPr>
        <w:t xml:space="preserve">, </w:t>
      </w:r>
      <w:r w:rsidR="004C75A6">
        <w:rPr>
          <w:rFonts w:ascii="Times New Roman" w:hAnsi="Times New Roman" w:cs="Times New Roman"/>
          <w:sz w:val="24"/>
          <w:szCs w:val="24"/>
        </w:rPr>
        <w:t xml:space="preserve">69 Mass. App. Ct. 1115, </w:t>
      </w:r>
      <w:r w:rsidRPr="00172E17">
        <w:rPr>
          <w:rFonts w:ascii="Times New Roman" w:hAnsi="Times New Roman" w:cs="Times New Roman"/>
          <w:sz w:val="24"/>
          <w:szCs w:val="24"/>
        </w:rPr>
        <w:t xml:space="preserve">2007 WL 2264849 (Aug. 8, 2007, Mass. App. Ct.) (Rule 1:28 decision) (incapacity alleged); </w:t>
      </w:r>
      <w:r w:rsidRPr="00172E17">
        <w:rPr>
          <w:rFonts w:ascii="Times New Roman" w:hAnsi="Times New Roman" w:cs="Times New Roman"/>
          <w:i/>
          <w:sz w:val="24"/>
          <w:szCs w:val="24"/>
        </w:rPr>
        <w:t>Maimonides School v. Coles</w:t>
      </w:r>
      <w:r w:rsidRPr="00172E17">
        <w:rPr>
          <w:rFonts w:ascii="Times New Roman" w:hAnsi="Times New Roman" w:cs="Times New Roman"/>
          <w:sz w:val="24"/>
          <w:szCs w:val="24"/>
        </w:rPr>
        <w:t>, 71 Mass. App. Ct. 240 (2008) (incapacity alleged).</w:t>
      </w:r>
      <w:r w:rsidRPr="00172E17">
        <w:rPr>
          <w:rFonts w:ascii="Times New Roman" w:hAnsi="Times New Roman" w:cs="Times New Roman"/>
          <w:b/>
          <w:sz w:val="24"/>
          <w:szCs w:val="24"/>
        </w:rPr>
        <w:t xml:space="preserve">  </w:t>
      </w:r>
      <w:r w:rsidRPr="00172E17">
        <w:rPr>
          <w:rFonts w:ascii="Times New Roman" w:hAnsi="Times New Roman" w:cs="Times New Roman"/>
          <w:sz w:val="24"/>
          <w:szCs w:val="24"/>
        </w:rPr>
        <w:t xml:space="preserve">“The condition of a testator’s mind has a material bearing on the question of whether [s]he was in fact susceptible to undue influence.” </w:t>
      </w:r>
      <w:r w:rsidRPr="00172E17">
        <w:rPr>
          <w:rFonts w:ascii="Times New Roman" w:hAnsi="Times New Roman" w:cs="Times New Roman"/>
          <w:i/>
          <w:sz w:val="24"/>
          <w:szCs w:val="24"/>
        </w:rPr>
        <w:t xml:space="preserve">Dayton v. Glidden, </w:t>
      </w:r>
      <w:r w:rsidRPr="00172E17">
        <w:rPr>
          <w:rFonts w:ascii="Times New Roman" w:hAnsi="Times New Roman" w:cs="Times New Roman"/>
          <w:sz w:val="24"/>
          <w:szCs w:val="24"/>
        </w:rPr>
        <w:t xml:space="preserve">303 Mass. 268, 269 (1939)(physician testimony considered in affirming finding of no undue influence where appellant waived appeal on the issue of alleged incapacity).  </w:t>
      </w:r>
    </w:p>
    <w:p w14:paraId="0634BB6E" w14:textId="77777777" w:rsidR="00FC5093" w:rsidRDefault="00FC5093" w:rsidP="00FC5093">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CAPACITY EVIDENCE IN WILL AND TRUST CONTEST</w:t>
      </w:r>
      <w:r w:rsidR="009C07E5">
        <w:rPr>
          <w:rFonts w:ascii="Times New Roman" w:hAnsi="Times New Roman" w:cs="Times New Roman"/>
          <w:b/>
          <w:sz w:val="24"/>
          <w:szCs w:val="24"/>
          <w:u w:val="single"/>
        </w:rPr>
        <w:t>S</w:t>
      </w:r>
    </w:p>
    <w:p w14:paraId="300729E7" w14:textId="77777777" w:rsidR="00FC5093" w:rsidRPr="00FC5093" w:rsidRDefault="00FC5093" w:rsidP="00FC5093">
      <w:pPr>
        <w:spacing w:after="0" w:line="240" w:lineRule="auto"/>
        <w:rPr>
          <w:rFonts w:ascii="Times New Roman" w:hAnsi="Times New Roman" w:cs="Times New Roman"/>
          <w:b/>
          <w:sz w:val="24"/>
          <w:szCs w:val="24"/>
        </w:rPr>
      </w:pPr>
    </w:p>
    <w:p w14:paraId="1DDF4C93" w14:textId="77777777" w:rsidR="00032A03" w:rsidRDefault="00032A03"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It has been long established that “only ‘the witnesses to the will, the [treating] physician, . . .  and witnesses who by special skill and experience are qualified as e</w:t>
      </w:r>
      <w:r w:rsidR="00E21B29">
        <w:rPr>
          <w:rFonts w:ascii="Times New Roman" w:hAnsi="Times New Roman" w:cs="Times New Roman"/>
          <w:sz w:val="24"/>
          <w:szCs w:val="24"/>
        </w:rPr>
        <w:t>xperts in the knowledge and treatment of mental diseases . . .  [may] give their opinions of testamentary capacity.</w:t>
      </w:r>
      <w:r w:rsidR="00B446DB">
        <w:rPr>
          <w:rFonts w:ascii="Times New Roman" w:hAnsi="Times New Roman" w:cs="Times New Roman"/>
          <w:sz w:val="24"/>
          <w:szCs w:val="24"/>
        </w:rPr>
        <w:t>”</w:t>
      </w:r>
      <w:r w:rsidR="00E21B29">
        <w:rPr>
          <w:rFonts w:ascii="Times New Roman" w:hAnsi="Times New Roman" w:cs="Times New Roman"/>
          <w:sz w:val="24"/>
          <w:szCs w:val="24"/>
        </w:rPr>
        <w:t xml:space="preserve">  </w:t>
      </w:r>
      <w:r w:rsidR="00E21B29">
        <w:rPr>
          <w:rFonts w:ascii="Times New Roman" w:hAnsi="Times New Roman" w:cs="Times New Roman"/>
          <w:sz w:val="24"/>
          <w:szCs w:val="24"/>
          <w:u w:val="single"/>
        </w:rPr>
        <w:lastRenderedPageBreak/>
        <w:t>Maimonides School v. Coles</w:t>
      </w:r>
      <w:r w:rsidR="00E21B29">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E21B29">
        <w:rPr>
          <w:rFonts w:ascii="Times New Roman" w:hAnsi="Times New Roman" w:cs="Times New Roman"/>
          <w:sz w:val="24"/>
          <w:szCs w:val="24"/>
        </w:rPr>
        <w:t xml:space="preserve"> 240, Fn.8 (2008) </w:t>
      </w:r>
      <w:r w:rsidR="00E21B29">
        <w:rPr>
          <w:rFonts w:ascii="Times New Roman" w:hAnsi="Times New Roman" w:cs="Times New Roman"/>
          <w:i/>
          <w:sz w:val="24"/>
          <w:szCs w:val="24"/>
        </w:rPr>
        <w:t>quoting</w:t>
      </w:r>
      <w:r w:rsidR="00E21B29">
        <w:rPr>
          <w:rFonts w:ascii="Times New Roman" w:hAnsi="Times New Roman" w:cs="Times New Roman"/>
          <w:sz w:val="24"/>
          <w:szCs w:val="24"/>
        </w:rPr>
        <w:t xml:space="preserve"> </w:t>
      </w:r>
      <w:r w:rsidR="00E21B29">
        <w:rPr>
          <w:rFonts w:ascii="Times New Roman" w:hAnsi="Times New Roman" w:cs="Times New Roman"/>
          <w:sz w:val="24"/>
          <w:szCs w:val="24"/>
          <w:u w:val="single"/>
        </w:rPr>
        <w:t>May v. Bradlee</w:t>
      </w:r>
      <w:r w:rsidR="00E21B29">
        <w:rPr>
          <w:rFonts w:ascii="Times New Roman" w:hAnsi="Times New Roman" w:cs="Times New Roman"/>
          <w:sz w:val="24"/>
          <w:szCs w:val="24"/>
        </w:rPr>
        <w:t xml:space="preserve">, 127 Mass. 414, 421 (1879).  </w:t>
      </w:r>
    </w:p>
    <w:p w14:paraId="1A896C16" w14:textId="77777777" w:rsidR="00D25573" w:rsidRDefault="00E21B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attending physician may offer an opinion </w:t>
      </w:r>
      <w:r w:rsidR="0014017E">
        <w:rPr>
          <w:rFonts w:ascii="Times New Roman" w:hAnsi="Times New Roman" w:cs="Times New Roman"/>
          <w:sz w:val="24"/>
          <w:szCs w:val="24"/>
        </w:rPr>
        <w:t xml:space="preserve">only </w:t>
      </w:r>
      <w:r>
        <w:rPr>
          <w:rFonts w:ascii="Times New Roman" w:hAnsi="Times New Roman" w:cs="Times New Roman"/>
          <w:sz w:val="24"/>
          <w:szCs w:val="24"/>
        </w:rPr>
        <w:t xml:space="preserve">within the scope of his or her competence.  </w:t>
      </w: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e.g.</w:t>
      </w:r>
      <w:r>
        <w:rPr>
          <w:rFonts w:ascii="Times New Roman" w:hAnsi="Times New Roman" w:cs="Times New Roman"/>
          <w:sz w:val="24"/>
          <w:szCs w:val="24"/>
        </w:rPr>
        <w:t xml:space="preserve">, </w:t>
      </w:r>
      <w:r w:rsidR="005F39AE">
        <w:rPr>
          <w:rFonts w:ascii="Times New Roman" w:hAnsi="Times New Roman" w:cs="Times New Roman"/>
          <w:sz w:val="24"/>
          <w:szCs w:val="24"/>
          <w:u w:val="single"/>
        </w:rPr>
        <w:t>Old Colony Trust Co. v. Di</w:t>
      </w:r>
      <w:r w:rsidR="00302CEE">
        <w:rPr>
          <w:rFonts w:ascii="Times New Roman" w:hAnsi="Times New Roman" w:cs="Times New Roman"/>
          <w:sz w:val="24"/>
          <w:szCs w:val="24"/>
          <w:u w:val="single"/>
        </w:rPr>
        <w:t>C</w:t>
      </w:r>
      <w:r w:rsidR="005F39AE">
        <w:rPr>
          <w:rFonts w:ascii="Times New Roman" w:hAnsi="Times New Roman" w:cs="Times New Roman"/>
          <w:sz w:val="24"/>
          <w:szCs w:val="24"/>
          <w:u w:val="single"/>
        </w:rPr>
        <w:t>ola</w:t>
      </w:r>
      <w:r w:rsidR="005F39AE">
        <w:rPr>
          <w:rFonts w:ascii="Times New Roman" w:hAnsi="Times New Roman" w:cs="Times New Roman"/>
          <w:sz w:val="24"/>
          <w:szCs w:val="24"/>
        </w:rPr>
        <w:t>, 233 Mass. 119 (1919) (“the mere fact that a witness is [an attending] surgeon or a physician does not of itself qualify him as an expert in mental diseases”</w:t>
      </w:r>
      <w:r w:rsidR="00094518">
        <w:rPr>
          <w:rFonts w:ascii="Times New Roman" w:hAnsi="Times New Roman" w:cs="Times New Roman"/>
          <w:sz w:val="24"/>
          <w:szCs w:val="24"/>
        </w:rPr>
        <w:t>.</w:t>
      </w:r>
      <w:r w:rsidR="005F39AE">
        <w:rPr>
          <w:rFonts w:ascii="Times New Roman" w:hAnsi="Times New Roman" w:cs="Times New Roman"/>
          <w:sz w:val="24"/>
          <w:szCs w:val="24"/>
        </w:rPr>
        <w:t>)</w:t>
      </w:r>
      <w:r w:rsidR="0014017E">
        <w:rPr>
          <w:rFonts w:ascii="Times New Roman" w:hAnsi="Times New Roman" w:cs="Times New Roman"/>
          <w:sz w:val="24"/>
          <w:szCs w:val="24"/>
        </w:rPr>
        <w:t xml:space="preserve">  </w:t>
      </w:r>
      <w:r w:rsidR="00D25573">
        <w:rPr>
          <w:rFonts w:ascii="Times New Roman" w:hAnsi="Times New Roman" w:cs="Times New Roman"/>
          <w:i/>
          <w:sz w:val="24"/>
          <w:szCs w:val="24"/>
        </w:rPr>
        <w:t>See</w:t>
      </w:r>
      <w:r w:rsidR="00D25573">
        <w:rPr>
          <w:rFonts w:ascii="Times New Roman" w:hAnsi="Times New Roman" w:cs="Times New Roman"/>
          <w:sz w:val="24"/>
          <w:szCs w:val="24"/>
        </w:rPr>
        <w:t xml:space="preserve">, </w:t>
      </w:r>
      <w:r w:rsidR="00D25573">
        <w:rPr>
          <w:rFonts w:ascii="Times New Roman" w:hAnsi="Times New Roman" w:cs="Times New Roman"/>
          <w:i/>
          <w:sz w:val="24"/>
          <w:szCs w:val="24"/>
        </w:rPr>
        <w:t>e.g.</w:t>
      </w:r>
      <w:r w:rsidR="00D25573">
        <w:rPr>
          <w:rFonts w:ascii="Times New Roman" w:hAnsi="Times New Roman" w:cs="Times New Roman"/>
          <w:sz w:val="24"/>
          <w:szCs w:val="24"/>
        </w:rPr>
        <w:t xml:space="preserve">, </w:t>
      </w:r>
      <w:r>
        <w:rPr>
          <w:rFonts w:ascii="Times New Roman" w:hAnsi="Times New Roman" w:cs="Times New Roman"/>
          <w:sz w:val="24"/>
          <w:szCs w:val="24"/>
          <w:u w:val="single"/>
        </w:rPr>
        <w:t>Estate of Tang</w:t>
      </w:r>
      <w:r>
        <w:rPr>
          <w:rFonts w:ascii="Times New Roman" w:hAnsi="Times New Roman" w:cs="Times New Roman"/>
          <w:sz w:val="24"/>
          <w:szCs w:val="24"/>
        </w:rPr>
        <w:t xml:space="preserve">, 69 </w:t>
      </w:r>
      <w:r w:rsidR="00C15452">
        <w:rPr>
          <w:rFonts w:ascii="Times New Roman" w:hAnsi="Times New Roman" w:cs="Times New Roman"/>
          <w:sz w:val="24"/>
          <w:szCs w:val="24"/>
        </w:rPr>
        <w:t>Mass. App. Ct.</w:t>
      </w:r>
      <w:r>
        <w:rPr>
          <w:rFonts w:ascii="Times New Roman" w:hAnsi="Times New Roman" w:cs="Times New Roman"/>
          <w:sz w:val="24"/>
          <w:szCs w:val="24"/>
        </w:rPr>
        <w:t xml:space="preserve"> 1115</w:t>
      </w:r>
      <w:r w:rsidR="004C75A6">
        <w:rPr>
          <w:rFonts w:ascii="Times New Roman" w:hAnsi="Times New Roman" w:cs="Times New Roman"/>
          <w:sz w:val="24"/>
          <w:szCs w:val="24"/>
        </w:rPr>
        <w:t>, 2007 WL 2264849</w:t>
      </w:r>
      <w:r>
        <w:rPr>
          <w:rFonts w:ascii="Times New Roman" w:hAnsi="Times New Roman" w:cs="Times New Roman"/>
          <w:sz w:val="24"/>
          <w:szCs w:val="24"/>
        </w:rPr>
        <w:t xml:space="preserve"> (2007) (trial judge allowed treating neurologist to testify generally but not as an expert on dementia in light of his lack of specialty training in dementia</w:t>
      </w:r>
      <w:r w:rsidR="008D4DE2">
        <w:rPr>
          <w:rFonts w:ascii="Times New Roman" w:hAnsi="Times New Roman" w:cs="Times New Roman"/>
          <w:sz w:val="24"/>
          <w:szCs w:val="24"/>
        </w:rPr>
        <w:t>)</w:t>
      </w:r>
      <w:r w:rsidR="00B446DB">
        <w:rPr>
          <w:rFonts w:ascii="Times New Roman" w:hAnsi="Times New Roman" w:cs="Times New Roman"/>
          <w:sz w:val="24"/>
          <w:szCs w:val="24"/>
        </w:rPr>
        <w:t>;</w:t>
      </w:r>
      <w:r w:rsidR="008D4DE2">
        <w:rPr>
          <w:rFonts w:ascii="Times New Roman" w:hAnsi="Times New Roman" w:cs="Times New Roman"/>
          <w:sz w:val="24"/>
          <w:szCs w:val="24"/>
        </w:rPr>
        <w:t xml:space="preserve">  </w:t>
      </w:r>
      <w:r w:rsidR="008D4DE2">
        <w:rPr>
          <w:rFonts w:ascii="Times New Roman" w:hAnsi="Times New Roman" w:cs="Times New Roman"/>
          <w:sz w:val="24"/>
          <w:szCs w:val="24"/>
          <w:u w:val="single"/>
        </w:rPr>
        <w:t>Neill v. Brackett</w:t>
      </w:r>
      <w:r w:rsidR="008D4DE2">
        <w:rPr>
          <w:rFonts w:ascii="Times New Roman" w:hAnsi="Times New Roman" w:cs="Times New Roman"/>
          <w:sz w:val="24"/>
          <w:szCs w:val="24"/>
        </w:rPr>
        <w:t xml:space="preserve">, 241 Mass. 534 (1922) (family physician could give his opinion as to the condition of the patient at the relevant time, but not permitted to opine on whether there was such a deterioration in his mental faculties to render him susceptible to being </w:t>
      </w:r>
      <w:r w:rsidR="00D0196B">
        <w:rPr>
          <w:rFonts w:ascii="Times New Roman" w:hAnsi="Times New Roman" w:cs="Times New Roman"/>
          <w:sz w:val="24"/>
          <w:szCs w:val="24"/>
        </w:rPr>
        <w:t>unduly influenced)</w:t>
      </w:r>
      <w:r w:rsidR="00D25573">
        <w:rPr>
          <w:rFonts w:ascii="Times New Roman" w:hAnsi="Times New Roman" w:cs="Times New Roman"/>
          <w:sz w:val="24"/>
          <w:szCs w:val="24"/>
        </w:rPr>
        <w:t xml:space="preserve">.  </w:t>
      </w:r>
    </w:p>
    <w:p w14:paraId="250442D0" w14:textId="77777777" w:rsidR="004425F9" w:rsidRDefault="00D25573"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14017E">
        <w:rPr>
          <w:rFonts w:ascii="Times New Roman" w:hAnsi="Times New Roman" w:cs="Times New Roman"/>
          <w:sz w:val="24"/>
          <w:szCs w:val="24"/>
        </w:rPr>
        <w:t xml:space="preserve">he medical records of the testator are </w:t>
      </w:r>
      <w:r>
        <w:rPr>
          <w:rFonts w:ascii="Times New Roman" w:hAnsi="Times New Roman" w:cs="Times New Roman"/>
          <w:sz w:val="24"/>
          <w:szCs w:val="24"/>
        </w:rPr>
        <w:t>themselves</w:t>
      </w:r>
      <w:r w:rsidR="0014017E">
        <w:rPr>
          <w:rFonts w:ascii="Times New Roman" w:hAnsi="Times New Roman" w:cs="Times New Roman"/>
          <w:sz w:val="24"/>
          <w:szCs w:val="24"/>
        </w:rPr>
        <w:t xml:space="preserve"> often important evidence</w:t>
      </w:r>
      <w:r>
        <w:rPr>
          <w:rFonts w:ascii="Times New Roman" w:hAnsi="Times New Roman" w:cs="Times New Roman"/>
          <w:sz w:val="24"/>
          <w:szCs w:val="24"/>
        </w:rPr>
        <w:t xml:space="preserve"> on the issue of capacity</w:t>
      </w:r>
      <w:r w:rsidR="0014017E">
        <w:rPr>
          <w:rFonts w:ascii="Times New Roman" w:hAnsi="Times New Roman" w:cs="Times New Roman"/>
          <w:sz w:val="24"/>
          <w:szCs w:val="24"/>
        </w:rPr>
        <w:t xml:space="preserve">.  </w:t>
      </w:r>
      <w:r w:rsidR="00B3212C">
        <w:rPr>
          <w:rFonts w:ascii="Times New Roman" w:hAnsi="Times New Roman" w:cs="Times New Roman"/>
          <w:i/>
          <w:sz w:val="24"/>
          <w:szCs w:val="24"/>
        </w:rPr>
        <w:t>See</w:t>
      </w:r>
      <w:r w:rsidR="00B3212C">
        <w:rPr>
          <w:rFonts w:ascii="Times New Roman" w:hAnsi="Times New Roman" w:cs="Times New Roman"/>
          <w:sz w:val="24"/>
          <w:szCs w:val="24"/>
        </w:rPr>
        <w:t xml:space="preserve">, </w:t>
      </w:r>
      <w:r w:rsidR="00B3212C">
        <w:rPr>
          <w:rFonts w:ascii="Times New Roman" w:hAnsi="Times New Roman" w:cs="Times New Roman"/>
          <w:i/>
          <w:sz w:val="24"/>
          <w:szCs w:val="24"/>
        </w:rPr>
        <w:t>e.g.</w:t>
      </w:r>
      <w:r w:rsidR="00B3212C">
        <w:rPr>
          <w:rFonts w:ascii="Times New Roman" w:hAnsi="Times New Roman" w:cs="Times New Roman"/>
          <w:sz w:val="24"/>
          <w:szCs w:val="24"/>
        </w:rPr>
        <w:t xml:space="preserve">,  </w:t>
      </w:r>
      <w:r w:rsidR="00274EA7">
        <w:rPr>
          <w:rFonts w:ascii="Times New Roman" w:hAnsi="Times New Roman" w:cs="Times New Roman"/>
          <w:sz w:val="24"/>
          <w:szCs w:val="24"/>
          <w:u w:val="single"/>
        </w:rPr>
        <w:t>Maimonides School v. Harris Coles</w:t>
      </w:r>
      <w:r w:rsidR="00274EA7">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274EA7">
        <w:rPr>
          <w:rFonts w:ascii="Times New Roman" w:hAnsi="Times New Roman" w:cs="Times New Roman"/>
          <w:sz w:val="24"/>
          <w:szCs w:val="24"/>
        </w:rPr>
        <w:t xml:space="preserve"> 240 (2008); </w:t>
      </w:r>
      <w:r w:rsidR="00274EA7" w:rsidRPr="00274EA7">
        <w:rPr>
          <w:rFonts w:ascii="Times New Roman" w:hAnsi="Times New Roman" w:cs="Times New Roman"/>
          <w:sz w:val="24"/>
          <w:szCs w:val="24"/>
          <w:u w:val="single"/>
        </w:rPr>
        <w:t>Susan W. Paine v. Valerie E. Sullivan</w:t>
      </w:r>
      <w:r w:rsidR="00274EA7">
        <w:rPr>
          <w:rFonts w:ascii="Times New Roman" w:hAnsi="Times New Roman" w:cs="Times New Roman"/>
          <w:sz w:val="24"/>
          <w:szCs w:val="24"/>
        </w:rPr>
        <w:t xml:space="preserve">, 79 </w:t>
      </w:r>
      <w:r w:rsidR="00C15452">
        <w:rPr>
          <w:rFonts w:ascii="Times New Roman" w:hAnsi="Times New Roman" w:cs="Times New Roman"/>
          <w:sz w:val="24"/>
          <w:szCs w:val="24"/>
        </w:rPr>
        <w:t>Mass. App. Ct.</w:t>
      </w:r>
      <w:r w:rsidR="00274EA7">
        <w:rPr>
          <w:rFonts w:ascii="Times New Roman" w:hAnsi="Times New Roman" w:cs="Times New Roman"/>
          <w:sz w:val="24"/>
          <w:szCs w:val="24"/>
        </w:rPr>
        <w:t xml:space="preserve"> 811 (2011); </w:t>
      </w:r>
      <w:r w:rsidR="00274EA7">
        <w:rPr>
          <w:rFonts w:ascii="Times New Roman" w:hAnsi="Times New Roman" w:cs="Times New Roman"/>
          <w:sz w:val="24"/>
          <w:szCs w:val="24"/>
          <w:u w:val="single"/>
        </w:rPr>
        <w:t>Krasner v. Berk</w:t>
      </w:r>
      <w:r w:rsidR="00274EA7">
        <w:rPr>
          <w:rFonts w:ascii="Times New Roman" w:hAnsi="Times New Roman" w:cs="Times New Roman"/>
          <w:sz w:val="24"/>
          <w:szCs w:val="24"/>
        </w:rPr>
        <w:t xml:space="preserve">, 366 Mass. 464 (1974); </w:t>
      </w:r>
      <w:r w:rsidR="002B2DA1">
        <w:rPr>
          <w:rFonts w:ascii="Times New Roman" w:hAnsi="Times New Roman" w:cs="Times New Roman"/>
          <w:sz w:val="24"/>
          <w:szCs w:val="24"/>
          <w:u w:val="single"/>
        </w:rPr>
        <w:t>In the Matter of the Estate of Fred S. Rosen</w:t>
      </w:r>
      <w:r w:rsidR="002B2DA1">
        <w:rPr>
          <w:rFonts w:ascii="Times New Roman" w:hAnsi="Times New Roman" w:cs="Times New Roman"/>
          <w:sz w:val="24"/>
          <w:szCs w:val="24"/>
        </w:rPr>
        <w:t xml:space="preserve">, 86 </w:t>
      </w:r>
      <w:r w:rsidR="00C15452">
        <w:rPr>
          <w:rFonts w:ascii="Times New Roman" w:hAnsi="Times New Roman" w:cs="Times New Roman"/>
          <w:sz w:val="24"/>
          <w:szCs w:val="24"/>
        </w:rPr>
        <w:t>Mass. App. Ct.</w:t>
      </w:r>
      <w:r w:rsidR="002B2DA1">
        <w:rPr>
          <w:rFonts w:ascii="Times New Roman" w:hAnsi="Times New Roman" w:cs="Times New Roman"/>
          <w:sz w:val="24"/>
          <w:szCs w:val="24"/>
        </w:rPr>
        <w:t xml:space="preserve"> 793 (2014); </w:t>
      </w:r>
      <w:r w:rsidR="002B2DA1">
        <w:rPr>
          <w:rFonts w:ascii="Times New Roman" w:hAnsi="Times New Roman" w:cs="Times New Roman"/>
          <w:sz w:val="24"/>
          <w:szCs w:val="24"/>
          <w:u w:val="single"/>
        </w:rPr>
        <w:t>Boston Safe Deposit and Trust Company v. Florence L. Bacon</w:t>
      </w:r>
      <w:r w:rsidR="002B2DA1">
        <w:rPr>
          <w:rFonts w:ascii="Times New Roman" w:hAnsi="Times New Roman" w:cs="Times New Roman"/>
          <w:sz w:val="24"/>
          <w:szCs w:val="24"/>
        </w:rPr>
        <w:t>, 229 Mass. 585 (1918)</w:t>
      </w:r>
      <w:r w:rsidR="00274EA7">
        <w:rPr>
          <w:rFonts w:ascii="Times New Roman" w:hAnsi="Times New Roman" w:cs="Times New Roman"/>
          <w:sz w:val="24"/>
          <w:szCs w:val="24"/>
        </w:rPr>
        <w:t>.</w:t>
      </w:r>
      <w:r w:rsidR="002B2DA1">
        <w:rPr>
          <w:rFonts w:ascii="Times New Roman" w:hAnsi="Times New Roman" w:cs="Times New Roman"/>
          <w:sz w:val="24"/>
          <w:szCs w:val="24"/>
        </w:rPr>
        <w:t xml:space="preserve">  </w:t>
      </w:r>
    </w:p>
    <w:p w14:paraId="2F83EF98" w14:textId="77777777" w:rsidR="00813829" w:rsidRDefault="008138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C631A5">
        <w:rPr>
          <w:rFonts w:ascii="Times New Roman" w:hAnsi="Times New Roman" w:cs="Times New Roman"/>
          <w:sz w:val="24"/>
          <w:szCs w:val="24"/>
        </w:rPr>
        <w:t>he testimony of drafting counsel is often of critical importance</w:t>
      </w:r>
      <w:r w:rsidR="00B446DB">
        <w:rPr>
          <w:rFonts w:ascii="Times New Roman" w:hAnsi="Times New Roman" w:cs="Times New Roman"/>
          <w:sz w:val="24"/>
          <w:szCs w:val="24"/>
        </w:rPr>
        <w:t>.</w:t>
      </w:r>
      <w:r w:rsidR="00C631A5">
        <w:rPr>
          <w:rFonts w:ascii="Times New Roman" w:hAnsi="Times New Roman" w:cs="Times New Roman"/>
          <w:sz w:val="24"/>
          <w:szCs w:val="24"/>
        </w:rPr>
        <w:t xml:space="preserve"> “It is true that in circumstances when medical and other evidence call into question a testator’s capacity, we have relied on the testimony of the drafting attorney in resolving the testamentary capacity issue.”  </w:t>
      </w:r>
      <w:r w:rsidR="00C631A5" w:rsidRPr="00274EA7">
        <w:rPr>
          <w:rFonts w:ascii="Times New Roman" w:hAnsi="Times New Roman" w:cs="Times New Roman"/>
          <w:sz w:val="24"/>
          <w:szCs w:val="24"/>
          <w:u w:val="single"/>
        </w:rPr>
        <w:t>Paine v. Sullivan</w:t>
      </w:r>
      <w:r w:rsidR="00C631A5">
        <w:rPr>
          <w:rFonts w:ascii="Times New Roman" w:hAnsi="Times New Roman" w:cs="Times New Roman"/>
          <w:sz w:val="24"/>
          <w:szCs w:val="24"/>
        </w:rPr>
        <w:t xml:space="preserve">, 79 </w:t>
      </w:r>
      <w:r w:rsidR="00C15452">
        <w:rPr>
          <w:rFonts w:ascii="Times New Roman" w:hAnsi="Times New Roman" w:cs="Times New Roman"/>
          <w:sz w:val="24"/>
          <w:szCs w:val="24"/>
        </w:rPr>
        <w:t>Mass. App. Ct.</w:t>
      </w:r>
      <w:r w:rsidR="00C631A5">
        <w:rPr>
          <w:rFonts w:ascii="Times New Roman" w:hAnsi="Times New Roman" w:cs="Times New Roman"/>
          <w:sz w:val="24"/>
          <w:szCs w:val="24"/>
        </w:rPr>
        <w:t xml:space="preserve"> 811</w:t>
      </w:r>
      <w:r w:rsidR="00C056E0">
        <w:rPr>
          <w:rFonts w:ascii="Times New Roman" w:hAnsi="Times New Roman" w:cs="Times New Roman"/>
          <w:sz w:val="24"/>
          <w:szCs w:val="24"/>
        </w:rPr>
        <w:t>, 882</w:t>
      </w:r>
      <w:r w:rsidR="00C631A5">
        <w:rPr>
          <w:rFonts w:ascii="Times New Roman" w:hAnsi="Times New Roman" w:cs="Times New Roman"/>
          <w:sz w:val="24"/>
          <w:szCs w:val="24"/>
        </w:rPr>
        <w:t xml:space="preserve"> (2011)</w:t>
      </w:r>
      <w:r w:rsidR="00C056E0">
        <w:rPr>
          <w:rFonts w:ascii="Times New Roman" w:hAnsi="Times New Roman" w:cs="Times New Roman"/>
          <w:sz w:val="24"/>
          <w:szCs w:val="24"/>
        </w:rPr>
        <w:t xml:space="preserve"> (</w:t>
      </w:r>
      <w:r w:rsidR="00C056E0">
        <w:rPr>
          <w:rFonts w:ascii="Times New Roman" w:hAnsi="Times New Roman" w:cs="Times New Roman"/>
          <w:i/>
          <w:sz w:val="24"/>
          <w:szCs w:val="24"/>
        </w:rPr>
        <w:t>citing</w:t>
      </w:r>
      <w:r w:rsidR="00C056E0">
        <w:rPr>
          <w:rFonts w:ascii="Times New Roman" w:hAnsi="Times New Roman" w:cs="Times New Roman"/>
          <w:sz w:val="24"/>
          <w:szCs w:val="24"/>
        </w:rPr>
        <w:t xml:space="preserve"> </w:t>
      </w:r>
      <w:r w:rsidR="00C056E0">
        <w:rPr>
          <w:rFonts w:ascii="Times New Roman" w:hAnsi="Times New Roman" w:cs="Times New Roman"/>
          <w:sz w:val="24"/>
          <w:szCs w:val="24"/>
          <w:u w:val="single"/>
        </w:rPr>
        <w:t>Palmer v. Palmer</w:t>
      </w:r>
      <w:r w:rsidR="00C056E0">
        <w:rPr>
          <w:rFonts w:ascii="Times New Roman" w:hAnsi="Times New Roman" w:cs="Times New Roman"/>
          <w:sz w:val="24"/>
          <w:szCs w:val="24"/>
        </w:rPr>
        <w:t xml:space="preserve">, 23 </w:t>
      </w:r>
      <w:r w:rsidR="00C15452">
        <w:rPr>
          <w:rFonts w:ascii="Times New Roman" w:hAnsi="Times New Roman" w:cs="Times New Roman"/>
          <w:sz w:val="24"/>
          <w:szCs w:val="24"/>
        </w:rPr>
        <w:t>Mass. App. Ct.</w:t>
      </w:r>
      <w:r w:rsidR="00C056E0">
        <w:rPr>
          <w:rFonts w:ascii="Times New Roman" w:hAnsi="Times New Roman" w:cs="Times New Roman"/>
          <w:sz w:val="24"/>
          <w:szCs w:val="24"/>
        </w:rPr>
        <w:t xml:space="preserve"> at 251-252 &amp; n.5, 500 N.E.2d 1354 (attorney who prepared simple, </w:t>
      </w:r>
      <w:r w:rsidR="005B1368">
        <w:rPr>
          <w:rFonts w:ascii="Times New Roman" w:hAnsi="Times New Roman" w:cs="Times New Roman"/>
          <w:sz w:val="24"/>
          <w:szCs w:val="24"/>
        </w:rPr>
        <w:t xml:space="preserve">one-page instrument met with testator prior to execution and just prior to execution, summarized each article and put the practical effect in simple layman’s language); </w:t>
      </w:r>
      <w:r w:rsidR="005B1368">
        <w:rPr>
          <w:rFonts w:ascii="Times New Roman" w:hAnsi="Times New Roman" w:cs="Times New Roman"/>
          <w:sz w:val="24"/>
          <w:szCs w:val="24"/>
          <w:u w:val="single"/>
        </w:rPr>
        <w:t>Rempelakis v. Russell</w:t>
      </w:r>
      <w:r w:rsidR="005B1368">
        <w:rPr>
          <w:rFonts w:ascii="Times New Roman" w:hAnsi="Times New Roman" w:cs="Times New Roman"/>
          <w:sz w:val="24"/>
          <w:szCs w:val="24"/>
        </w:rPr>
        <w:t xml:space="preserve">, 65 </w:t>
      </w:r>
      <w:r w:rsidR="00C15452">
        <w:rPr>
          <w:rFonts w:ascii="Times New Roman" w:hAnsi="Times New Roman" w:cs="Times New Roman"/>
          <w:sz w:val="24"/>
          <w:szCs w:val="24"/>
        </w:rPr>
        <w:t>Mass. App. Ct.</w:t>
      </w:r>
      <w:r w:rsidR="005B1368">
        <w:rPr>
          <w:rFonts w:ascii="Times New Roman" w:hAnsi="Times New Roman" w:cs="Times New Roman"/>
          <w:sz w:val="24"/>
          <w:szCs w:val="24"/>
        </w:rPr>
        <w:t xml:space="preserve"> 557, </w:t>
      </w:r>
      <w:r w:rsidR="005B1368">
        <w:rPr>
          <w:rFonts w:ascii="Times New Roman" w:hAnsi="Times New Roman" w:cs="Times New Roman"/>
          <w:sz w:val="24"/>
          <w:szCs w:val="24"/>
        </w:rPr>
        <w:lastRenderedPageBreak/>
        <w:t>561-562, 842 N.E.2d 970 (</w:t>
      </w:r>
      <w:r w:rsidR="00923BC3">
        <w:rPr>
          <w:rFonts w:ascii="Times New Roman" w:hAnsi="Times New Roman" w:cs="Times New Roman"/>
          <w:sz w:val="24"/>
          <w:szCs w:val="24"/>
        </w:rPr>
        <w:t xml:space="preserve">2006) (attorney met with testator in hospital, hand-wrote will according to testator’s instructions, and read the will to her in front of witnesses; testator </w:t>
      </w:r>
      <w:r w:rsidR="00302CEE">
        <w:rPr>
          <w:rFonts w:ascii="Times New Roman" w:hAnsi="Times New Roman" w:cs="Times New Roman"/>
          <w:sz w:val="24"/>
          <w:szCs w:val="24"/>
        </w:rPr>
        <w:t>agreed</w:t>
      </w:r>
      <w:r w:rsidR="00923BC3">
        <w:rPr>
          <w:rFonts w:ascii="Times New Roman" w:hAnsi="Times New Roman" w:cs="Times New Roman"/>
          <w:sz w:val="24"/>
          <w:szCs w:val="24"/>
        </w:rPr>
        <w:t xml:space="preserve"> it reflected her wishes before executing it</w:t>
      </w:r>
      <w:r w:rsidR="00F2395E">
        <w:rPr>
          <w:rFonts w:ascii="Times New Roman" w:hAnsi="Times New Roman" w:cs="Times New Roman"/>
          <w:sz w:val="24"/>
          <w:szCs w:val="24"/>
        </w:rPr>
        <w:t>)</w:t>
      </w:r>
      <w:r w:rsidR="00923BC3">
        <w:rPr>
          <w:rFonts w:ascii="Times New Roman" w:hAnsi="Times New Roman" w:cs="Times New Roman"/>
          <w:sz w:val="24"/>
          <w:szCs w:val="24"/>
        </w:rPr>
        <w:t xml:space="preserve">; </w:t>
      </w:r>
      <w:r w:rsidR="00923BC3">
        <w:rPr>
          <w:rFonts w:ascii="Times New Roman" w:hAnsi="Times New Roman" w:cs="Times New Roman"/>
          <w:sz w:val="24"/>
          <w:szCs w:val="24"/>
          <w:u w:val="single"/>
        </w:rPr>
        <w:t>Maimonides Sch. v. Coles</w:t>
      </w:r>
      <w:r w:rsidR="00923BC3">
        <w:rPr>
          <w:rFonts w:ascii="Times New Roman" w:hAnsi="Times New Roman" w:cs="Times New Roman"/>
          <w:sz w:val="24"/>
          <w:szCs w:val="24"/>
        </w:rPr>
        <w:t xml:space="preserve">, 71 </w:t>
      </w:r>
      <w:r w:rsidR="00C15452">
        <w:rPr>
          <w:rFonts w:ascii="Times New Roman" w:hAnsi="Times New Roman" w:cs="Times New Roman"/>
          <w:sz w:val="24"/>
          <w:szCs w:val="24"/>
        </w:rPr>
        <w:t>Mass. App. Ct.</w:t>
      </w:r>
      <w:r w:rsidR="00923BC3">
        <w:rPr>
          <w:rFonts w:ascii="Times New Roman" w:hAnsi="Times New Roman" w:cs="Times New Roman"/>
          <w:sz w:val="24"/>
          <w:szCs w:val="24"/>
        </w:rPr>
        <w:t xml:space="preserve"> at 245-247 (attorney spoke with testator in rehabilitation hospital by telephone and took him through the changes of his second trust amendment which testator confirmed; testator made additional changes later that day; attorney met with testator at rehabilitation hospital and went through amendment again; testator made additional change and initialed change in the margin and at all time demonstrated to attorney that he knew what he was doing and did not show any confusion).  </w:t>
      </w:r>
      <w:r w:rsidR="00C631A5">
        <w:rPr>
          <w:rFonts w:ascii="Times New Roman" w:hAnsi="Times New Roman" w:cs="Times New Roman"/>
          <w:sz w:val="24"/>
          <w:szCs w:val="24"/>
        </w:rPr>
        <w:t xml:space="preserve"> </w:t>
      </w:r>
    </w:p>
    <w:p w14:paraId="738B5F60" w14:textId="77777777" w:rsidR="00274EA7" w:rsidRDefault="00813829" w:rsidP="004425F9">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reliability of drafting counsel’s testimony about the capacity of the testator will depend in part on the care counsel took </w:t>
      </w:r>
      <w:r w:rsidR="00BE4FD4">
        <w:rPr>
          <w:rFonts w:ascii="Times New Roman" w:hAnsi="Times New Roman" w:cs="Times New Roman"/>
          <w:sz w:val="24"/>
          <w:szCs w:val="24"/>
        </w:rPr>
        <w:t xml:space="preserve">in handling the professional relationship. </w:t>
      </w:r>
      <w:r w:rsidR="00CC731B">
        <w:rPr>
          <w:rFonts w:ascii="Times New Roman" w:hAnsi="Times New Roman" w:cs="Times New Roman"/>
          <w:sz w:val="24"/>
          <w:szCs w:val="24"/>
        </w:rPr>
        <w:t xml:space="preserve">In </w:t>
      </w:r>
      <w:r w:rsidR="00CC731B">
        <w:rPr>
          <w:rFonts w:ascii="Times New Roman" w:hAnsi="Times New Roman" w:cs="Times New Roman"/>
          <w:sz w:val="24"/>
          <w:szCs w:val="24"/>
          <w:u w:val="single"/>
        </w:rPr>
        <w:t>Paine</w:t>
      </w:r>
      <w:r w:rsidR="00CC731B">
        <w:rPr>
          <w:rFonts w:ascii="Times New Roman" w:hAnsi="Times New Roman" w:cs="Times New Roman"/>
          <w:sz w:val="24"/>
          <w:szCs w:val="24"/>
        </w:rPr>
        <w:t>, the court held that</w:t>
      </w:r>
      <w:r w:rsidR="00B446DB">
        <w:rPr>
          <w:rFonts w:ascii="Times New Roman" w:hAnsi="Times New Roman" w:cs="Times New Roman"/>
          <w:sz w:val="24"/>
          <w:szCs w:val="24"/>
        </w:rPr>
        <w:t xml:space="preserve"> the</w:t>
      </w:r>
      <w:r w:rsidR="00CC731B">
        <w:rPr>
          <w:rFonts w:ascii="Times New Roman" w:hAnsi="Times New Roman" w:cs="Times New Roman"/>
          <w:sz w:val="24"/>
          <w:szCs w:val="24"/>
        </w:rPr>
        <w:t xml:space="preserve"> Probate and Family Court erred in </w:t>
      </w:r>
      <w:r w:rsidR="00BE4FD4">
        <w:rPr>
          <w:rFonts w:ascii="Times New Roman" w:hAnsi="Times New Roman" w:cs="Times New Roman"/>
          <w:sz w:val="24"/>
          <w:szCs w:val="24"/>
        </w:rPr>
        <w:t>crediting</w:t>
      </w:r>
      <w:r w:rsidR="00CC731B">
        <w:rPr>
          <w:rFonts w:ascii="Times New Roman" w:hAnsi="Times New Roman" w:cs="Times New Roman"/>
          <w:sz w:val="24"/>
          <w:szCs w:val="24"/>
        </w:rPr>
        <w:t xml:space="preserve"> on the testimony of drafting counsel given his lack of contact with the testator</w:t>
      </w:r>
      <w:r w:rsidR="009D2EF1">
        <w:rPr>
          <w:rFonts w:ascii="Times New Roman" w:hAnsi="Times New Roman" w:cs="Times New Roman"/>
          <w:sz w:val="24"/>
          <w:szCs w:val="24"/>
        </w:rPr>
        <w:t>.</w:t>
      </w:r>
    </w:p>
    <w:p w14:paraId="44D6D8D1" w14:textId="77777777" w:rsidR="009D2EF1" w:rsidRDefault="009D2EF1" w:rsidP="009D2EF1">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Here, however, the attorney was unable to provide any relevant evidence as to John’s capacity on the date the will was signed.  The attorney had not seen John in a number of years and only spoke with him by telephone; John simply verified he wanted what Odette wanted.  The attorney was unaware that John had been diagnosed with dementia in 2001.  While we agree with the judge that it is very likely that the attorney would not have drafted a will for a client he believed to lack testamentary capacity, the attorney admittedly did nothing to determine whether John understood the will as drafted, knew the natural objects of his bounty, had a general understanding of his finances, or was suffering from any ailment that might influence his dispositions.</w:t>
      </w:r>
    </w:p>
    <w:p w14:paraId="014895FB" w14:textId="77777777" w:rsidR="009D2EF1" w:rsidRDefault="009D2EF1" w:rsidP="009D2EF1">
      <w:pPr>
        <w:spacing w:after="0" w:line="240" w:lineRule="auto"/>
        <w:ind w:firstLine="720"/>
        <w:rPr>
          <w:rFonts w:ascii="Times New Roman" w:hAnsi="Times New Roman" w:cs="Times New Roman"/>
          <w:sz w:val="24"/>
          <w:szCs w:val="24"/>
        </w:rPr>
      </w:pPr>
    </w:p>
    <w:p w14:paraId="58AE7FAB" w14:textId="77777777" w:rsidR="008A056E" w:rsidRDefault="009D2EF1" w:rsidP="009D2EF1">
      <w:pPr>
        <w:spacing w:after="0" w:line="480" w:lineRule="auto"/>
        <w:rPr>
          <w:rFonts w:ascii="Times New Roman" w:hAnsi="Times New Roman" w:cs="Times New Roman"/>
          <w:sz w:val="24"/>
          <w:szCs w:val="24"/>
        </w:rPr>
      </w:pPr>
      <w:r w:rsidRPr="009D2EF1">
        <w:rPr>
          <w:rFonts w:ascii="Times New Roman" w:hAnsi="Times New Roman" w:cs="Times New Roman"/>
          <w:sz w:val="24"/>
          <w:szCs w:val="24"/>
          <w:u w:val="single"/>
        </w:rPr>
        <w:t>Id.</w:t>
      </w:r>
      <w:r w:rsidRPr="009D2EF1">
        <w:rPr>
          <w:rFonts w:ascii="Times New Roman" w:hAnsi="Times New Roman" w:cs="Times New Roman"/>
          <w:sz w:val="24"/>
          <w:szCs w:val="24"/>
        </w:rPr>
        <w:t xml:space="preserve">  </w:t>
      </w:r>
    </w:p>
    <w:p w14:paraId="3964B9E2" w14:textId="77777777" w:rsidR="00F2395E" w:rsidRDefault="008A056E" w:rsidP="00BE4FD4">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9D2EF1" w:rsidRPr="009D2EF1">
        <w:rPr>
          <w:rFonts w:ascii="Times New Roman" w:hAnsi="Times New Roman" w:cs="Times New Roman"/>
          <w:sz w:val="24"/>
          <w:szCs w:val="24"/>
        </w:rPr>
        <w:t xml:space="preserve">In </w:t>
      </w:r>
      <w:r w:rsidR="009D2EF1">
        <w:rPr>
          <w:rFonts w:ascii="Times New Roman" w:hAnsi="Times New Roman" w:cs="Times New Roman"/>
          <w:sz w:val="24"/>
          <w:szCs w:val="24"/>
          <w:u w:val="single"/>
        </w:rPr>
        <w:t xml:space="preserve">Old Colony </w:t>
      </w:r>
      <w:r w:rsidR="00D443FF">
        <w:rPr>
          <w:rFonts w:ascii="Times New Roman" w:hAnsi="Times New Roman" w:cs="Times New Roman"/>
          <w:sz w:val="24"/>
          <w:szCs w:val="24"/>
          <w:u w:val="single"/>
        </w:rPr>
        <w:t>Trust Co. v. DiCola</w:t>
      </w:r>
      <w:r w:rsidR="00D443FF">
        <w:rPr>
          <w:rFonts w:ascii="Times New Roman" w:hAnsi="Times New Roman" w:cs="Times New Roman"/>
          <w:sz w:val="24"/>
          <w:szCs w:val="24"/>
        </w:rPr>
        <w:t>, 23 Mass. 119</w:t>
      </w:r>
      <w:r w:rsidR="001D4991">
        <w:rPr>
          <w:rFonts w:ascii="Times New Roman" w:hAnsi="Times New Roman" w:cs="Times New Roman"/>
          <w:sz w:val="24"/>
          <w:szCs w:val="24"/>
        </w:rPr>
        <w:t>, 125</w:t>
      </w:r>
      <w:r w:rsidR="00D443FF">
        <w:rPr>
          <w:rFonts w:ascii="Times New Roman" w:hAnsi="Times New Roman" w:cs="Times New Roman"/>
          <w:sz w:val="24"/>
          <w:szCs w:val="24"/>
        </w:rPr>
        <w:t xml:space="preserve"> (1919)</w:t>
      </w:r>
      <w:r w:rsidR="00BE4FD4">
        <w:rPr>
          <w:rFonts w:ascii="Times New Roman" w:hAnsi="Times New Roman" w:cs="Times New Roman"/>
          <w:sz w:val="24"/>
          <w:szCs w:val="24"/>
        </w:rPr>
        <w:t>,</w:t>
      </w:r>
      <w:r w:rsidR="00D443FF">
        <w:rPr>
          <w:rFonts w:ascii="Times New Roman" w:hAnsi="Times New Roman" w:cs="Times New Roman"/>
          <w:sz w:val="24"/>
          <w:szCs w:val="24"/>
        </w:rPr>
        <w:t xml:space="preserve"> the court approved admission of drafting counsel’s testimony, even though he was not a subscribing witness, as to whether he heard the testator “say or do anything which indicated he was not of sound mind”</w:t>
      </w:r>
      <w:r w:rsidR="004E7DD4">
        <w:rPr>
          <w:rFonts w:ascii="Times New Roman" w:hAnsi="Times New Roman" w:cs="Times New Roman"/>
          <w:sz w:val="24"/>
          <w:szCs w:val="24"/>
        </w:rPr>
        <w:t xml:space="preserve"> on grounds that counsel “was not asked his opinion, but to state the facts as he observed him.”  </w:t>
      </w:r>
      <w:r w:rsidR="00BE4FD4">
        <w:rPr>
          <w:rFonts w:ascii="Times New Roman" w:hAnsi="Times New Roman" w:cs="Times New Roman"/>
          <w:sz w:val="24"/>
          <w:szCs w:val="24"/>
        </w:rPr>
        <w:lastRenderedPageBreak/>
        <w:tab/>
        <w:t>L</w:t>
      </w:r>
      <w:r w:rsidR="001D4991">
        <w:rPr>
          <w:rFonts w:ascii="Times New Roman" w:hAnsi="Times New Roman" w:cs="Times New Roman"/>
          <w:sz w:val="24"/>
          <w:szCs w:val="24"/>
        </w:rPr>
        <w:t>a</w:t>
      </w:r>
      <w:r w:rsidR="00F2395E">
        <w:rPr>
          <w:rFonts w:ascii="Times New Roman" w:hAnsi="Times New Roman" w:cs="Times New Roman"/>
          <w:sz w:val="24"/>
          <w:szCs w:val="24"/>
        </w:rPr>
        <w:t>y</w:t>
      </w:r>
      <w:r w:rsidR="001D4991">
        <w:rPr>
          <w:rFonts w:ascii="Times New Roman" w:hAnsi="Times New Roman" w:cs="Times New Roman"/>
          <w:sz w:val="24"/>
          <w:szCs w:val="24"/>
        </w:rPr>
        <w:t xml:space="preserve"> testimony that has been admitted bearing on the issue of capacity includes observations of “patterns of mental confusion or misapprehension,” </w:t>
      </w:r>
      <w:r w:rsidR="001D4991">
        <w:rPr>
          <w:rFonts w:ascii="Times New Roman" w:hAnsi="Times New Roman" w:cs="Times New Roman"/>
          <w:sz w:val="24"/>
          <w:szCs w:val="24"/>
          <w:u w:val="single"/>
        </w:rPr>
        <w:t>Adler v. Adler</w:t>
      </w:r>
      <w:r w:rsidR="001D4991">
        <w:rPr>
          <w:rFonts w:ascii="Times New Roman" w:hAnsi="Times New Roman" w:cs="Times New Roman"/>
          <w:sz w:val="24"/>
          <w:szCs w:val="24"/>
        </w:rPr>
        <w:t xml:space="preserve">, </w:t>
      </w:r>
      <w:r w:rsidR="00097CBC">
        <w:rPr>
          <w:rFonts w:ascii="Times New Roman" w:hAnsi="Times New Roman" w:cs="Times New Roman"/>
          <w:sz w:val="24"/>
          <w:szCs w:val="24"/>
        </w:rPr>
        <w:t xml:space="preserve">83 </w:t>
      </w:r>
      <w:r w:rsidR="00C15452">
        <w:rPr>
          <w:rFonts w:ascii="Times New Roman" w:hAnsi="Times New Roman" w:cs="Times New Roman"/>
          <w:sz w:val="24"/>
          <w:szCs w:val="24"/>
        </w:rPr>
        <w:t>Mass. App. Ct.</w:t>
      </w:r>
      <w:r w:rsidR="00097CBC">
        <w:rPr>
          <w:rFonts w:ascii="Times New Roman" w:hAnsi="Times New Roman" w:cs="Times New Roman"/>
          <w:sz w:val="24"/>
          <w:szCs w:val="24"/>
        </w:rPr>
        <w:t xml:space="preserve"> 1135 (2013) and observations as to whether the testator “was firm or weak in his decision” or showed any appearance of mental decline, </w:t>
      </w:r>
      <w:r w:rsidR="00097CBC">
        <w:rPr>
          <w:rFonts w:ascii="Times New Roman" w:hAnsi="Times New Roman" w:cs="Times New Roman"/>
          <w:sz w:val="24"/>
          <w:szCs w:val="24"/>
          <w:u w:val="single"/>
        </w:rPr>
        <w:t>Neill v. Brackett</w:t>
      </w:r>
      <w:r w:rsidR="00097CBC">
        <w:rPr>
          <w:rFonts w:ascii="Times New Roman" w:hAnsi="Times New Roman" w:cs="Times New Roman"/>
          <w:sz w:val="24"/>
          <w:szCs w:val="24"/>
        </w:rPr>
        <w:t>, 241 Mass. 534, 540 (1922).</w:t>
      </w:r>
    </w:p>
    <w:p w14:paraId="683BF495" w14:textId="77777777" w:rsidR="00F2395E" w:rsidRDefault="00F2395E" w:rsidP="00F2395E">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CONTEMPORANEOUS EVALUATION</w:t>
      </w:r>
    </w:p>
    <w:p w14:paraId="5F22DE08" w14:textId="77777777" w:rsidR="00F2395E" w:rsidRDefault="00F2395E" w:rsidP="00C14695">
      <w:pPr>
        <w:spacing w:after="0" w:line="240" w:lineRule="auto"/>
        <w:ind w:firstLine="720"/>
        <w:rPr>
          <w:rFonts w:ascii="Times New Roman" w:hAnsi="Times New Roman" w:cs="Times New Roman"/>
          <w:sz w:val="24"/>
          <w:szCs w:val="24"/>
        </w:rPr>
      </w:pPr>
    </w:p>
    <w:p w14:paraId="57ACB3F1" w14:textId="77777777" w:rsidR="004425F9" w:rsidRDefault="00C14695"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Counsel assisting a client with dementia with estate planning may </w:t>
      </w:r>
      <w:r w:rsidR="00794060">
        <w:rPr>
          <w:rFonts w:ascii="Times New Roman" w:hAnsi="Times New Roman" w:cs="Times New Roman"/>
          <w:sz w:val="24"/>
          <w:szCs w:val="24"/>
        </w:rPr>
        <w:t>wish to consider a medical capacity evaluation, especially if the proposed plan represents a significant change from prior one.</w:t>
      </w:r>
    </w:p>
    <w:p w14:paraId="178018FE" w14:textId="77777777" w:rsidR="00406AF6" w:rsidRDefault="00406AF6" w:rsidP="00406AF6">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Although most lawyers recognize the need for psychiatric testimony in will contest cases, even the most careful lawyers seldom call in a psyc</w:t>
      </w:r>
      <w:r w:rsidR="00AA60E8">
        <w:rPr>
          <w:rFonts w:ascii="Times New Roman" w:hAnsi="Times New Roman" w:cs="Times New Roman"/>
          <w:sz w:val="24"/>
          <w:szCs w:val="24"/>
        </w:rPr>
        <w:t xml:space="preserve">hiatrist to examine the </w:t>
      </w:r>
      <w:r>
        <w:rPr>
          <w:rFonts w:ascii="Times New Roman" w:hAnsi="Times New Roman" w:cs="Times New Roman"/>
          <w:sz w:val="24"/>
          <w:szCs w:val="24"/>
        </w:rPr>
        <w:t xml:space="preserve">testator at the time the will is executed.  But such a practice seems advisable whenever the attorney has reason to expect a contest of his client’s will on grounds of incapacity.  This precaution will be necessary, however, only in the relatively rare cases of unusual dispositions, where the shares of beneficiaries under the will and under intestacy are substantially different.  The testimony of the expert should insure victor in the contest.  The knowledge that this testimony is available might even deter possible contestants from bringing suit. </w:t>
      </w:r>
    </w:p>
    <w:p w14:paraId="284B8617" w14:textId="77777777" w:rsidR="00406AF6" w:rsidRDefault="00406AF6" w:rsidP="00406AF6">
      <w:pPr>
        <w:spacing w:after="0" w:line="240" w:lineRule="auto"/>
        <w:ind w:firstLine="720"/>
        <w:rPr>
          <w:rFonts w:ascii="Times New Roman" w:hAnsi="Times New Roman" w:cs="Times New Roman"/>
          <w:sz w:val="24"/>
          <w:szCs w:val="24"/>
        </w:rPr>
      </w:pPr>
    </w:p>
    <w:p w14:paraId="7463F492" w14:textId="77777777" w:rsidR="00406AF6" w:rsidRDefault="00406AF6" w:rsidP="00406AF6">
      <w:pPr>
        <w:spacing w:after="0" w:line="480" w:lineRule="auto"/>
        <w:rPr>
          <w:rFonts w:ascii="Times New Roman" w:hAnsi="Times New Roman" w:cs="Times New Roman"/>
          <w:sz w:val="24"/>
          <w:szCs w:val="24"/>
        </w:rPr>
      </w:pPr>
      <w:r w:rsidRPr="00E176FA">
        <w:rPr>
          <w:rFonts w:ascii="Times New Roman" w:hAnsi="Times New Roman" w:cs="Times New Roman"/>
          <w:i/>
          <w:sz w:val="24"/>
          <w:szCs w:val="24"/>
        </w:rPr>
        <w:t>Psychiatric Assistance in the Determination of Testamentary Capacity</w:t>
      </w:r>
      <w:r>
        <w:rPr>
          <w:rFonts w:ascii="Times New Roman" w:hAnsi="Times New Roman" w:cs="Times New Roman"/>
          <w:sz w:val="24"/>
          <w:szCs w:val="24"/>
        </w:rPr>
        <w:t xml:space="preserve">, 66 Harv. L. Rev. 1116 (1953).  A </w:t>
      </w:r>
      <w:r w:rsidR="00AA60E8">
        <w:rPr>
          <w:rFonts w:ascii="Times New Roman" w:hAnsi="Times New Roman" w:cs="Times New Roman"/>
          <w:sz w:val="24"/>
          <w:szCs w:val="24"/>
        </w:rPr>
        <w:t xml:space="preserve">capacity evaluation is especially advisable if the client has been diagnosed with an Alzheimer’s type dementia because </w:t>
      </w:r>
      <w:r w:rsidR="00550C11">
        <w:rPr>
          <w:rFonts w:ascii="Times New Roman" w:hAnsi="Times New Roman" w:cs="Times New Roman"/>
          <w:sz w:val="24"/>
          <w:szCs w:val="24"/>
        </w:rPr>
        <w:t>the decline is likely to be relentless and total.</w:t>
      </w:r>
      <w:r w:rsidR="000D0F76">
        <w:rPr>
          <w:rFonts w:ascii="Times New Roman" w:hAnsi="Times New Roman" w:cs="Times New Roman"/>
          <w:sz w:val="24"/>
          <w:szCs w:val="24"/>
        </w:rPr>
        <w:t xml:space="preserve"> </w:t>
      </w:r>
    </w:p>
    <w:p w14:paraId="39AA8B89" w14:textId="77777777" w:rsidR="000D0F76" w:rsidRDefault="00281E86" w:rsidP="00034572">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[Alzheimer’s] </w:t>
      </w:r>
      <w:r w:rsidR="00034572">
        <w:rPr>
          <w:rFonts w:ascii="Times New Roman" w:hAnsi="Times New Roman" w:cs="Times New Roman"/>
          <w:sz w:val="24"/>
          <w:szCs w:val="24"/>
        </w:rPr>
        <w:t xml:space="preserve">patients eventually lose </w:t>
      </w:r>
      <w:r w:rsidR="001B68E8">
        <w:rPr>
          <w:rFonts w:ascii="Times New Roman" w:hAnsi="Times New Roman" w:cs="Times New Roman"/>
          <w:sz w:val="24"/>
          <w:szCs w:val="24"/>
        </w:rPr>
        <w:t>decision</w:t>
      </w:r>
      <w:r w:rsidR="00034572">
        <w:rPr>
          <w:rFonts w:ascii="Times New Roman" w:hAnsi="Times New Roman" w:cs="Times New Roman"/>
          <w:sz w:val="24"/>
          <w:szCs w:val="24"/>
        </w:rPr>
        <w:t xml:space="preserve"> making capacity in every sphere of life.  Specific competencies that are lost include the capacity to make medical decisions; to consent to research; to manage financial affairs; to execute a will; to drive; to manage medications; to live independently; and ultimately to handle even the most basis </w:t>
      </w:r>
      <w:r w:rsidR="001B68E8">
        <w:rPr>
          <w:rFonts w:ascii="Times New Roman" w:hAnsi="Times New Roman" w:cs="Times New Roman"/>
          <w:sz w:val="24"/>
          <w:szCs w:val="24"/>
        </w:rPr>
        <w:t>activities</w:t>
      </w:r>
      <w:r w:rsidR="00034572">
        <w:rPr>
          <w:rFonts w:ascii="Times New Roman" w:hAnsi="Times New Roman" w:cs="Times New Roman"/>
          <w:sz w:val="24"/>
          <w:szCs w:val="24"/>
        </w:rPr>
        <w:t xml:space="preserve"> of daily life.</w:t>
      </w:r>
    </w:p>
    <w:p w14:paraId="5EB7E268" w14:textId="77777777" w:rsidR="00034572" w:rsidRDefault="00034572" w:rsidP="00034572">
      <w:pPr>
        <w:spacing w:after="0" w:line="240" w:lineRule="auto"/>
        <w:ind w:left="720" w:right="1440"/>
        <w:rPr>
          <w:rFonts w:ascii="Times New Roman" w:hAnsi="Times New Roman" w:cs="Times New Roman"/>
          <w:sz w:val="24"/>
          <w:szCs w:val="24"/>
        </w:rPr>
      </w:pPr>
    </w:p>
    <w:p w14:paraId="4F758F3D" w14:textId="77777777" w:rsidR="000D0F76" w:rsidRDefault="000D0F76" w:rsidP="000D0F7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Marson, </w:t>
      </w:r>
      <w:r w:rsidRPr="00E176FA">
        <w:rPr>
          <w:rFonts w:ascii="Times New Roman" w:hAnsi="Times New Roman" w:cs="Times New Roman"/>
          <w:i/>
          <w:sz w:val="24"/>
          <w:szCs w:val="24"/>
        </w:rPr>
        <w:t>Assessing Civil Competencies in Older Adults With Dementia:  Consent Capacity, Financial Capacity, and Testamentary Capacity in Forensic Neuropsychology</w:t>
      </w:r>
      <w:r>
        <w:rPr>
          <w:rFonts w:ascii="Times New Roman" w:hAnsi="Times New Roman" w:cs="Times New Roman"/>
          <w:sz w:val="24"/>
          <w:szCs w:val="24"/>
        </w:rPr>
        <w:t xml:space="preserve">, p. 334. </w:t>
      </w:r>
    </w:p>
    <w:p w14:paraId="6C0500BB" w14:textId="77777777" w:rsidR="00406AF6" w:rsidRDefault="000D0F76"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Counsel must determine </w:t>
      </w:r>
      <w:r w:rsidR="001B68E8">
        <w:rPr>
          <w:rFonts w:ascii="Times New Roman" w:hAnsi="Times New Roman" w:cs="Times New Roman"/>
          <w:sz w:val="24"/>
          <w:szCs w:val="24"/>
        </w:rPr>
        <w:t xml:space="preserve">whether the medical consultant will provide guidance about the nature and extent of the client’s impairment </w:t>
      </w:r>
      <w:r w:rsidR="00281E86">
        <w:rPr>
          <w:rFonts w:ascii="Times New Roman" w:hAnsi="Times New Roman" w:cs="Times New Roman"/>
          <w:sz w:val="24"/>
          <w:szCs w:val="24"/>
        </w:rPr>
        <w:t xml:space="preserve">in strictly in </w:t>
      </w:r>
      <w:r w:rsidR="001B68E8">
        <w:rPr>
          <w:rFonts w:ascii="Times New Roman" w:hAnsi="Times New Roman" w:cs="Times New Roman"/>
          <w:sz w:val="24"/>
          <w:szCs w:val="24"/>
        </w:rPr>
        <w:t>medical</w:t>
      </w:r>
      <w:r w:rsidR="00281E86">
        <w:rPr>
          <w:rFonts w:ascii="Times New Roman" w:hAnsi="Times New Roman" w:cs="Times New Roman"/>
          <w:sz w:val="24"/>
          <w:szCs w:val="24"/>
        </w:rPr>
        <w:t xml:space="preserve"> terms</w:t>
      </w:r>
      <w:r w:rsidR="001B68E8">
        <w:rPr>
          <w:rFonts w:ascii="Times New Roman" w:hAnsi="Times New Roman" w:cs="Times New Roman"/>
          <w:sz w:val="24"/>
          <w:szCs w:val="24"/>
        </w:rPr>
        <w:t xml:space="preserve"> or will </w:t>
      </w:r>
      <w:r w:rsidR="00281E86">
        <w:rPr>
          <w:rFonts w:ascii="Times New Roman" w:hAnsi="Times New Roman" w:cs="Times New Roman"/>
          <w:sz w:val="24"/>
          <w:szCs w:val="24"/>
        </w:rPr>
        <w:t xml:space="preserve">provide an opinion framed in terms of </w:t>
      </w:r>
      <w:r w:rsidR="001B68E8">
        <w:rPr>
          <w:rFonts w:ascii="Times New Roman" w:hAnsi="Times New Roman" w:cs="Times New Roman"/>
          <w:sz w:val="24"/>
          <w:szCs w:val="24"/>
        </w:rPr>
        <w:t xml:space="preserve">the legal capacity standard.  If the latter, counsel should provide the medical consultant careful instruction as to the </w:t>
      </w:r>
      <w:r w:rsidR="00281E86">
        <w:rPr>
          <w:rFonts w:ascii="Times New Roman" w:hAnsi="Times New Roman" w:cs="Times New Roman"/>
          <w:sz w:val="24"/>
          <w:szCs w:val="24"/>
        </w:rPr>
        <w:t xml:space="preserve">elements of the </w:t>
      </w:r>
      <w:r w:rsidR="001B68E8">
        <w:rPr>
          <w:rFonts w:ascii="Times New Roman" w:hAnsi="Times New Roman" w:cs="Times New Roman"/>
          <w:sz w:val="24"/>
          <w:szCs w:val="24"/>
        </w:rPr>
        <w:t xml:space="preserve">capacity requirements.  </w:t>
      </w:r>
    </w:p>
    <w:p w14:paraId="16FA0384" w14:textId="77777777" w:rsidR="001B68E8" w:rsidRDefault="001B68E8" w:rsidP="00C1469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medical literature provides guidance for </w:t>
      </w:r>
      <w:r w:rsidR="00281E86">
        <w:rPr>
          <w:rFonts w:ascii="Times New Roman" w:hAnsi="Times New Roman" w:cs="Times New Roman"/>
          <w:sz w:val="24"/>
          <w:szCs w:val="24"/>
        </w:rPr>
        <w:t>such</w:t>
      </w:r>
      <w:r>
        <w:rPr>
          <w:rFonts w:ascii="Times New Roman" w:hAnsi="Times New Roman" w:cs="Times New Roman"/>
          <w:sz w:val="24"/>
          <w:szCs w:val="24"/>
        </w:rPr>
        <w:t xml:space="preserve"> </w:t>
      </w:r>
      <w:r w:rsidR="00BE4FD4">
        <w:rPr>
          <w:rFonts w:ascii="Times New Roman" w:hAnsi="Times New Roman" w:cs="Times New Roman"/>
          <w:sz w:val="24"/>
          <w:szCs w:val="24"/>
        </w:rPr>
        <w:t xml:space="preserve">an </w:t>
      </w:r>
      <w:r>
        <w:rPr>
          <w:rFonts w:ascii="Times New Roman" w:hAnsi="Times New Roman" w:cs="Times New Roman"/>
          <w:sz w:val="24"/>
          <w:szCs w:val="24"/>
        </w:rPr>
        <w:t xml:space="preserve">evaluation.  For example, Dr. James Spar and Attorney Andrew Garb in </w:t>
      </w:r>
      <w:r w:rsidRPr="007032BA">
        <w:rPr>
          <w:rFonts w:ascii="Times New Roman" w:hAnsi="Times New Roman" w:cs="Times New Roman"/>
          <w:i/>
          <w:sz w:val="24"/>
          <w:szCs w:val="24"/>
        </w:rPr>
        <w:t>Assessing C</w:t>
      </w:r>
      <w:r w:rsidR="00BD49FA" w:rsidRPr="007032BA">
        <w:rPr>
          <w:rFonts w:ascii="Times New Roman" w:hAnsi="Times New Roman" w:cs="Times New Roman"/>
          <w:i/>
          <w:sz w:val="24"/>
          <w:szCs w:val="24"/>
        </w:rPr>
        <w:t>ompetency to Make A Will</w:t>
      </w:r>
      <w:r w:rsidR="00BD49FA">
        <w:rPr>
          <w:rFonts w:ascii="Times New Roman" w:hAnsi="Times New Roman" w:cs="Times New Roman"/>
          <w:sz w:val="24"/>
          <w:szCs w:val="24"/>
        </w:rPr>
        <w:t>, Amer.</w:t>
      </w:r>
      <w:r w:rsidR="006F0FA7">
        <w:rPr>
          <w:rFonts w:ascii="Times New Roman" w:hAnsi="Times New Roman" w:cs="Times New Roman"/>
          <w:sz w:val="24"/>
          <w:szCs w:val="24"/>
        </w:rPr>
        <w:t xml:space="preserve"> J. Psychiatry, 149:2 (1992), recommend:</w:t>
      </w:r>
    </w:p>
    <w:p w14:paraId="1065A2EB" w14:textId="77777777" w:rsidR="006F0FA7" w:rsidRDefault="006F0FA7" w:rsidP="006F0FA7">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In order to perform the assessment of capacity, the examiner must first determine from informed, objective sources the nature of </w:t>
      </w:r>
      <w:r w:rsidR="00322DD4">
        <w:rPr>
          <w:rFonts w:ascii="Times New Roman" w:hAnsi="Times New Roman" w:cs="Times New Roman"/>
          <w:sz w:val="24"/>
          <w:szCs w:val="24"/>
        </w:rPr>
        <w:t>the t</w:t>
      </w:r>
      <w:r>
        <w:rPr>
          <w:rFonts w:ascii="Times New Roman" w:hAnsi="Times New Roman" w:cs="Times New Roman"/>
          <w:sz w:val="24"/>
          <w:szCs w:val="24"/>
        </w:rPr>
        <w:t>estator’s assets and, if possible, the names and relationships to the testator of all potential heirs.  If necessary, the latter information can be obtained following the interview</w:t>
      </w:r>
      <w:r w:rsidR="00281E86">
        <w:rPr>
          <w:rFonts w:ascii="Times New Roman" w:hAnsi="Times New Roman" w:cs="Times New Roman"/>
          <w:sz w:val="24"/>
          <w:szCs w:val="24"/>
        </w:rPr>
        <w:t>….</w:t>
      </w:r>
    </w:p>
    <w:p w14:paraId="2627BB2F" w14:textId="77777777" w:rsidR="00322DD4" w:rsidRDefault="00322DD4" w:rsidP="006F0FA7">
      <w:pPr>
        <w:spacing w:after="0" w:line="240" w:lineRule="auto"/>
        <w:ind w:left="720" w:right="1440"/>
        <w:rPr>
          <w:rFonts w:ascii="Times New Roman" w:hAnsi="Times New Roman" w:cs="Times New Roman"/>
          <w:sz w:val="24"/>
          <w:szCs w:val="24"/>
        </w:rPr>
      </w:pPr>
    </w:p>
    <w:p w14:paraId="5D44BB2F" w14:textId="77777777" w:rsidR="00322DD4" w:rsidRDefault="00322DD4" w:rsidP="006F0FA7">
      <w:pPr>
        <w:spacing w:after="0" w:line="240" w:lineRule="auto"/>
        <w:ind w:left="720" w:right="1440"/>
        <w:rPr>
          <w:rFonts w:ascii="Times New Roman" w:hAnsi="Times New Roman" w:cs="Times New Roman"/>
          <w:sz w:val="24"/>
          <w:szCs w:val="24"/>
        </w:rPr>
      </w:pPr>
      <w:r>
        <w:rPr>
          <w:rFonts w:ascii="Times New Roman" w:hAnsi="Times New Roman" w:cs="Times New Roman"/>
          <w:sz w:val="24"/>
          <w:szCs w:val="24"/>
        </w:rPr>
        <w:t xml:space="preserve">A semistructured interview format is recommended, including a comprehensive mental status </w:t>
      </w:r>
      <w:r w:rsidR="00AD6BC8">
        <w:rPr>
          <w:rFonts w:ascii="Times New Roman" w:hAnsi="Times New Roman" w:cs="Times New Roman"/>
          <w:sz w:val="24"/>
          <w:szCs w:val="24"/>
        </w:rPr>
        <w:t xml:space="preserve">examination assessing general appearance, dress, and grooming; orientation; recent and remote memory; attention and </w:t>
      </w:r>
      <w:r w:rsidR="002A1545">
        <w:rPr>
          <w:rFonts w:ascii="Times New Roman" w:hAnsi="Times New Roman" w:cs="Times New Roman"/>
          <w:sz w:val="24"/>
          <w:szCs w:val="24"/>
        </w:rPr>
        <w:t>concentration</w:t>
      </w:r>
      <w:r w:rsidR="00AD6BC8">
        <w:rPr>
          <w:rFonts w:ascii="Times New Roman" w:hAnsi="Times New Roman" w:cs="Times New Roman"/>
          <w:sz w:val="24"/>
          <w:szCs w:val="24"/>
        </w:rPr>
        <w:t xml:space="preserve">; </w:t>
      </w:r>
      <w:r w:rsidR="002A1545">
        <w:rPr>
          <w:rFonts w:ascii="Times New Roman" w:hAnsi="Times New Roman" w:cs="Times New Roman"/>
          <w:sz w:val="24"/>
          <w:szCs w:val="24"/>
        </w:rPr>
        <w:t>receptive</w:t>
      </w:r>
      <w:r w:rsidR="00AD6BC8">
        <w:rPr>
          <w:rFonts w:ascii="Times New Roman" w:hAnsi="Times New Roman" w:cs="Times New Roman"/>
          <w:sz w:val="24"/>
          <w:szCs w:val="24"/>
        </w:rPr>
        <w:t xml:space="preserve"> and expressive language and speech function; </w:t>
      </w:r>
      <w:r w:rsidR="002A1545">
        <w:rPr>
          <w:rFonts w:ascii="Times New Roman" w:hAnsi="Times New Roman" w:cs="Times New Roman"/>
          <w:sz w:val="24"/>
          <w:szCs w:val="24"/>
        </w:rPr>
        <w:t>mood</w:t>
      </w:r>
      <w:r w:rsidR="00AD6BC8">
        <w:rPr>
          <w:rFonts w:ascii="Times New Roman" w:hAnsi="Times New Roman" w:cs="Times New Roman"/>
          <w:sz w:val="24"/>
          <w:szCs w:val="24"/>
        </w:rPr>
        <w:t>, affect, and psychomotor behavior</w:t>
      </w:r>
      <w:r w:rsidR="00F84EA5">
        <w:rPr>
          <w:rFonts w:ascii="Times New Roman" w:hAnsi="Times New Roman" w:cs="Times New Roman"/>
          <w:sz w:val="24"/>
          <w:szCs w:val="24"/>
        </w:rPr>
        <w:t xml:space="preserve">; thought form, flow, and content; insight and judgment; and higher cognitive functions such as </w:t>
      </w:r>
      <w:r w:rsidR="002A1545">
        <w:rPr>
          <w:rFonts w:ascii="Times New Roman" w:hAnsi="Times New Roman" w:cs="Times New Roman"/>
          <w:sz w:val="24"/>
          <w:szCs w:val="24"/>
        </w:rPr>
        <w:t>calculations</w:t>
      </w:r>
      <w:r w:rsidR="00F84EA5">
        <w:rPr>
          <w:rFonts w:ascii="Times New Roman" w:hAnsi="Times New Roman" w:cs="Times New Roman"/>
          <w:sz w:val="24"/>
          <w:szCs w:val="24"/>
        </w:rPr>
        <w:t xml:space="preserve"> and abstractions.  Adjunctive administration of standardized instruments such as the Mini-Mental State examination (10), the Neurobehavioral Cognitive Status </w:t>
      </w:r>
      <w:r w:rsidR="002A1545">
        <w:rPr>
          <w:rFonts w:ascii="Times New Roman" w:hAnsi="Times New Roman" w:cs="Times New Roman"/>
          <w:sz w:val="24"/>
          <w:szCs w:val="24"/>
        </w:rPr>
        <w:t>Examination</w:t>
      </w:r>
      <w:r w:rsidR="00F84EA5">
        <w:rPr>
          <w:rFonts w:ascii="Times New Roman" w:hAnsi="Times New Roman" w:cs="Times New Roman"/>
          <w:sz w:val="24"/>
          <w:szCs w:val="24"/>
        </w:rPr>
        <w:t xml:space="preserve"> (11), and the Hamilton Rating Scale for Depression (12), as appropriate, is also recommended.</w:t>
      </w:r>
    </w:p>
    <w:p w14:paraId="30CDF45C" w14:textId="77777777" w:rsidR="00281E86" w:rsidRDefault="00281E86" w:rsidP="00C14695">
      <w:pPr>
        <w:spacing w:after="0" w:line="480" w:lineRule="auto"/>
        <w:ind w:firstLine="720"/>
        <w:rPr>
          <w:rFonts w:ascii="Times New Roman" w:hAnsi="Times New Roman" w:cs="Times New Roman"/>
          <w:sz w:val="24"/>
          <w:szCs w:val="24"/>
        </w:rPr>
      </w:pPr>
    </w:p>
    <w:p w14:paraId="682431AE" w14:textId="77777777" w:rsidR="006F0FA7" w:rsidRPr="00F93485" w:rsidRDefault="00F93485" w:rsidP="00281E86">
      <w:pPr>
        <w:spacing w:after="0" w:line="480" w:lineRule="auto"/>
        <w:rPr>
          <w:rFonts w:ascii="Times New Roman" w:hAnsi="Times New Roman" w:cs="Times New Roman"/>
          <w:sz w:val="24"/>
          <w:szCs w:val="24"/>
        </w:rPr>
      </w:pPr>
      <w:r>
        <w:rPr>
          <w:rFonts w:ascii="Times New Roman" w:hAnsi="Times New Roman" w:cs="Times New Roman"/>
          <w:i/>
          <w:sz w:val="24"/>
          <w:szCs w:val="24"/>
        </w:rPr>
        <w:t>See</w:t>
      </w:r>
      <w:r>
        <w:rPr>
          <w:rFonts w:ascii="Times New Roman" w:hAnsi="Times New Roman" w:cs="Times New Roman"/>
          <w:sz w:val="24"/>
          <w:szCs w:val="24"/>
        </w:rPr>
        <w:t xml:space="preserve"> </w:t>
      </w:r>
      <w:r>
        <w:rPr>
          <w:rFonts w:ascii="Times New Roman" w:hAnsi="Times New Roman" w:cs="Times New Roman"/>
          <w:i/>
          <w:sz w:val="24"/>
          <w:szCs w:val="24"/>
        </w:rPr>
        <w:t>also</w:t>
      </w:r>
      <w:r>
        <w:rPr>
          <w:rFonts w:ascii="Times New Roman" w:hAnsi="Times New Roman" w:cs="Times New Roman"/>
          <w:sz w:val="24"/>
          <w:szCs w:val="24"/>
        </w:rPr>
        <w:t xml:space="preserve"> Shulman, </w:t>
      </w:r>
      <w:r w:rsidRPr="00CE371A">
        <w:rPr>
          <w:rFonts w:ascii="Times New Roman" w:hAnsi="Times New Roman" w:cs="Times New Roman"/>
          <w:i/>
          <w:sz w:val="24"/>
          <w:szCs w:val="24"/>
        </w:rPr>
        <w:t>Assessment of Testamentary Capacity and Vulnerability to Undue Influence</w:t>
      </w:r>
      <w:r>
        <w:rPr>
          <w:rFonts w:ascii="Times New Roman" w:hAnsi="Times New Roman" w:cs="Times New Roman"/>
          <w:sz w:val="24"/>
          <w:szCs w:val="24"/>
        </w:rPr>
        <w:t xml:space="preserve">, Am. J. Psychiatry, 164:5 (2007); </w:t>
      </w:r>
      <w:r w:rsidRPr="00593421">
        <w:rPr>
          <w:rFonts w:ascii="Times New Roman" w:hAnsi="Times New Roman" w:cs="Times New Roman"/>
          <w:sz w:val="24"/>
          <w:szCs w:val="24"/>
          <w:u w:val="single"/>
        </w:rPr>
        <w:t>Assessment of Older Adults With Diminished Capacity:  A Handbook for Psychologists</w:t>
      </w:r>
      <w:r>
        <w:rPr>
          <w:rFonts w:ascii="Times New Roman" w:hAnsi="Times New Roman" w:cs="Times New Roman"/>
          <w:sz w:val="24"/>
          <w:szCs w:val="24"/>
        </w:rPr>
        <w:t xml:space="preserve">, A.B.A./A.P.A. (2008).  Counsel </w:t>
      </w:r>
      <w:r w:rsidR="00281E86">
        <w:rPr>
          <w:rFonts w:ascii="Times New Roman" w:hAnsi="Times New Roman" w:cs="Times New Roman"/>
          <w:sz w:val="24"/>
          <w:szCs w:val="24"/>
        </w:rPr>
        <w:t>should consider</w:t>
      </w:r>
      <w:r>
        <w:rPr>
          <w:rFonts w:ascii="Times New Roman" w:hAnsi="Times New Roman" w:cs="Times New Roman"/>
          <w:sz w:val="24"/>
          <w:szCs w:val="24"/>
        </w:rPr>
        <w:t xml:space="preserve"> confirm</w:t>
      </w:r>
      <w:r w:rsidR="00281E86">
        <w:rPr>
          <w:rFonts w:ascii="Times New Roman" w:hAnsi="Times New Roman" w:cs="Times New Roman"/>
          <w:sz w:val="24"/>
          <w:szCs w:val="24"/>
        </w:rPr>
        <w:t xml:space="preserve">ing with </w:t>
      </w:r>
      <w:r>
        <w:rPr>
          <w:rFonts w:ascii="Times New Roman" w:hAnsi="Times New Roman" w:cs="Times New Roman"/>
          <w:sz w:val="24"/>
          <w:szCs w:val="24"/>
        </w:rPr>
        <w:t xml:space="preserve"> the consultant </w:t>
      </w:r>
      <w:r w:rsidR="00281E86">
        <w:rPr>
          <w:rFonts w:ascii="Times New Roman" w:hAnsi="Times New Roman" w:cs="Times New Roman"/>
          <w:sz w:val="24"/>
          <w:szCs w:val="24"/>
        </w:rPr>
        <w:t xml:space="preserve">that he or she is familiar with </w:t>
      </w:r>
      <w:r>
        <w:rPr>
          <w:rFonts w:ascii="Times New Roman" w:hAnsi="Times New Roman" w:cs="Times New Roman"/>
          <w:sz w:val="24"/>
          <w:szCs w:val="24"/>
        </w:rPr>
        <w:t>the capacity assessment literature/recommendations of his/her medical discipline.</w:t>
      </w:r>
    </w:p>
    <w:p w14:paraId="4F92CC42" w14:textId="77777777" w:rsidR="004425F9" w:rsidRDefault="004425F9" w:rsidP="004425F9">
      <w:pPr>
        <w:spacing w:after="0" w:line="480" w:lineRule="auto"/>
        <w:ind w:firstLine="720"/>
        <w:rPr>
          <w:rFonts w:ascii="Times New Roman" w:hAnsi="Times New Roman" w:cs="Times New Roman"/>
          <w:sz w:val="24"/>
          <w:szCs w:val="24"/>
        </w:rPr>
      </w:pPr>
    </w:p>
    <w:p w14:paraId="4DB2D6F8" w14:textId="77777777" w:rsidR="00172E17" w:rsidRDefault="00172E17" w:rsidP="00172E17">
      <w:pPr>
        <w:spacing w:after="0" w:line="480" w:lineRule="auto"/>
        <w:ind w:firstLine="720"/>
        <w:rPr>
          <w:rFonts w:ascii="Times New Roman" w:hAnsi="Times New Roman" w:cs="Times New Roman"/>
          <w:sz w:val="24"/>
          <w:szCs w:val="24"/>
        </w:rPr>
      </w:pPr>
    </w:p>
    <w:sectPr w:rsidR="00172E17" w:rsidSect="006A42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77A9" w14:textId="77777777" w:rsidR="008E7A7E" w:rsidRDefault="008E7A7E" w:rsidP="008963FD">
      <w:pPr>
        <w:spacing w:after="0" w:line="240" w:lineRule="auto"/>
      </w:pPr>
      <w:r>
        <w:separator/>
      </w:r>
    </w:p>
  </w:endnote>
  <w:endnote w:type="continuationSeparator" w:id="0">
    <w:p w14:paraId="217963BF" w14:textId="77777777" w:rsidR="008E7A7E" w:rsidRDefault="008E7A7E" w:rsidP="00896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iDocIDField31f8457f-5e22-42b2-9eee-cdba"/>
  <w:p w14:paraId="0690498B" w14:textId="77777777"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0E0A3A">
      <w:rPr>
        <w:noProof/>
      </w:rPr>
      <w:instrText>11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0E0A3A">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0E0A3A">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0E0A3A">
      <w:rPr>
        <w:noProof/>
      </w:rPr>
      <w:instrText>1</w:instrText>
    </w:r>
    <w:r>
      <w:fldChar w:fldCharType="end"/>
    </w:r>
    <w:r>
      <w:rPr>
        <w:noProof/>
      </w:rPr>
      <w:instrText>)</w:instrText>
    </w:r>
    <w:r>
      <w:fldChar w:fldCharType="separate"/>
    </w:r>
    <w:r w:rsidR="000E0A3A">
      <w:rPr>
        <w:noProof/>
      </w:rPr>
      <w:instrText>1</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fldChar w:fldCharType="separate"/>
    </w:r>
    <w:r w:rsidR="000E0A3A">
      <w:rPr>
        <w:noProof/>
      </w:rPr>
      <w:t>11584462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509880696"/>
      <w:docPartObj>
        <w:docPartGallery w:val="Page Numbers (Bottom of Page)"/>
        <w:docPartUnique/>
      </w:docPartObj>
    </w:sdtPr>
    <w:sdtEndPr>
      <w:rPr>
        <w:noProof/>
      </w:rPr>
    </w:sdtEndPr>
    <w:sdtContent>
      <w:p w14:paraId="1710E1AE" w14:textId="77777777" w:rsidR="001F20C9" w:rsidRPr="006A4294" w:rsidRDefault="001F20C9" w:rsidP="00082036">
        <w:pPr>
          <w:pStyle w:val="Footer"/>
          <w:jc w:val="center"/>
          <w:rPr>
            <w:rFonts w:ascii="Times New Roman" w:hAnsi="Times New Roman" w:cs="Times New Roman"/>
            <w:sz w:val="24"/>
            <w:szCs w:val="24"/>
          </w:rPr>
        </w:pPr>
        <w:r>
          <w:rPr>
            <w:rFonts w:ascii="Times New Roman" w:hAnsi="Times New Roman" w:cs="Times New Roman"/>
            <w:sz w:val="24"/>
            <w:szCs w:val="24"/>
          </w:rPr>
          <w:t xml:space="preserve">- </w:t>
        </w:r>
        <w:r w:rsidRPr="006A4294">
          <w:rPr>
            <w:rFonts w:ascii="Times New Roman" w:hAnsi="Times New Roman" w:cs="Times New Roman"/>
            <w:sz w:val="24"/>
            <w:szCs w:val="24"/>
          </w:rPr>
          <w:fldChar w:fldCharType="begin"/>
        </w:r>
        <w:r w:rsidRPr="006A4294">
          <w:rPr>
            <w:rFonts w:ascii="Times New Roman" w:hAnsi="Times New Roman" w:cs="Times New Roman"/>
            <w:sz w:val="24"/>
            <w:szCs w:val="24"/>
          </w:rPr>
          <w:instrText xml:space="preserve"> PAGE   \* MERGEFORMAT </w:instrText>
        </w:r>
        <w:r w:rsidRPr="006A4294">
          <w:rPr>
            <w:rFonts w:ascii="Times New Roman" w:hAnsi="Times New Roman" w:cs="Times New Roman"/>
            <w:sz w:val="24"/>
            <w:szCs w:val="24"/>
          </w:rPr>
          <w:fldChar w:fldCharType="separate"/>
        </w:r>
        <w:r w:rsidR="001A3036">
          <w:rPr>
            <w:rFonts w:ascii="Times New Roman" w:hAnsi="Times New Roman" w:cs="Times New Roman"/>
            <w:noProof/>
            <w:sz w:val="24"/>
            <w:szCs w:val="24"/>
          </w:rPr>
          <w:t>11</w:t>
        </w:r>
        <w:r w:rsidRPr="006A4294">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w:t>
        </w:r>
      </w:p>
    </w:sdtContent>
  </w:sdt>
  <w:bookmarkStart w:id="1" w:name="_iDocIDField127c0624-41a2-4b9d-b580-2128"/>
  <w:p w14:paraId="7DAE9152" w14:textId="3E6A8DA0"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FC0155">
      <w:rPr>
        <w:noProof/>
      </w:rPr>
      <w:instrText>11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FC0155">
      <w:rPr>
        <w:noProof/>
      </w:rPr>
      <w:instrText>1</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FC0155">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FC0155">
      <w:rPr>
        <w:noProof/>
      </w:rPr>
      <w:instrText>1</w:instrText>
    </w:r>
    <w:r>
      <w:fldChar w:fldCharType="end"/>
    </w:r>
    <w:r>
      <w:rPr>
        <w:noProof/>
      </w:rPr>
      <w:instrText>)</w:instrText>
    </w:r>
    <w:r>
      <w:fldChar w:fldCharType="separate"/>
    </w:r>
    <w:r w:rsidR="00FC0155">
      <w:rPr>
        <w:noProof/>
      </w:rPr>
      <w:instrText>1</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rsidR="00FC0155">
      <w:fldChar w:fldCharType="separate"/>
    </w:r>
    <w:r w:rsidR="00FC0155">
      <w:rPr>
        <w:noProof/>
      </w:rPr>
      <w:t>11584462</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iDocIDField11854b5c-8f5d-4b75-be40-45c7"/>
  <w:p w14:paraId="7722BEB0" w14:textId="4BC34F84" w:rsidR="001F20C9" w:rsidRDefault="001F20C9">
    <w:pPr>
      <w:pStyle w:val="DocID"/>
    </w:pPr>
    <w:r>
      <w:fldChar w:fldCharType="begin"/>
    </w:r>
    <w:r>
      <w:instrText xml:space="preserve">  IF </w:instrText>
    </w:r>
    <w:r>
      <w:fldChar w:fldCharType="begin"/>
    </w:r>
    <w:r>
      <w:instrText xml:space="preserve"> = AND (</w:instrText>
    </w:r>
    <w:r>
      <w:fldChar w:fldCharType="begin"/>
    </w:r>
    <w:r>
      <w:instrText xml:space="preserve">  COMPARE  </w:instrText>
    </w:r>
    <w:r>
      <w:fldChar w:fldCharType="begin"/>
    </w:r>
    <w:r>
      <w:rPr>
        <w:noProof/>
      </w:rPr>
      <w:instrText>PAGE \* Arabic</w:instrText>
    </w:r>
    <w:r>
      <w:fldChar w:fldCharType="separate"/>
    </w:r>
    <w:r w:rsidR="00FC0155">
      <w:rPr>
        <w:noProof/>
      </w:rPr>
      <w:instrText>1</w:instrText>
    </w:r>
    <w:r>
      <w:fldChar w:fldCharType="end"/>
    </w:r>
    <w:r>
      <w:instrText xml:space="preserve"> = </w:instrText>
    </w:r>
    <w:r>
      <w:fldChar w:fldCharType="begin"/>
    </w:r>
    <w:r>
      <w:rPr>
        <w:noProof/>
      </w:rPr>
      <w:instrText>DOCPROPERTY "CUS_DocIDEndAdjustedPageNumber"</w:instrText>
    </w:r>
    <w:r>
      <w:fldChar w:fldCharType="separate"/>
    </w:r>
    <w:r w:rsidR="000E0A3A">
      <w:rPr>
        <w:noProof/>
      </w:rPr>
      <w:instrText>11</w:instrText>
    </w:r>
    <w:r>
      <w:fldChar w:fldCharType="end"/>
    </w:r>
    <w:r>
      <w:fldChar w:fldCharType="separate"/>
    </w:r>
    <w:r w:rsidR="00FC0155">
      <w:rPr>
        <w:noProof/>
      </w:rPr>
      <w:instrText>0</w:instrText>
    </w:r>
    <w:r>
      <w:fldChar w:fldCharType="end"/>
    </w:r>
    <w:r>
      <w:rPr>
        <w:noProof/>
      </w:rPr>
      <w:instrText>,</w:instrText>
    </w:r>
    <w:r>
      <w:fldChar w:fldCharType="begin"/>
    </w:r>
    <w:r>
      <w:rPr>
        <w:noProof/>
      </w:rPr>
      <w:instrText>COMPARE</w:instrText>
    </w:r>
    <w:r>
      <w:fldChar w:fldCharType="begin"/>
    </w:r>
    <w:r>
      <w:rPr>
        <w:noProof/>
      </w:rPr>
      <w:instrText>SECTION</w:instrText>
    </w:r>
    <w:r>
      <w:fldChar w:fldCharType="separate"/>
    </w:r>
    <w:r w:rsidR="00FC0155">
      <w:rPr>
        <w:noProof/>
      </w:rPr>
      <w:instrText>1</w:instrText>
    </w:r>
    <w:r>
      <w:fldChar w:fldCharType="end"/>
    </w:r>
    <w:r>
      <w:rPr>
        <w:noProof/>
      </w:rPr>
      <w:instrText>=</w:instrText>
    </w:r>
    <w:r>
      <w:fldChar w:fldCharType="begin"/>
    </w:r>
    <w:r>
      <w:rPr>
        <w:noProof/>
      </w:rPr>
      <w:instrText>DOCPROPERTY "CUS_DocIDEndSectionNumber"</w:instrText>
    </w:r>
    <w:r>
      <w:fldChar w:fldCharType="separate"/>
    </w:r>
    <w:r w:rsidR="000E0A3A">
      <w:rPr>
        <w:noProof/>
      </w:rPr>
      <w:instrText>1</w:instrText>
    </w:r>
    <w:r>
      <w:fldChar w:fldCharType="end"/>
    </w:r>
    <w:r>
      <w:fldChar w:fldCharType="separate"/>
    </w:r>
    <w:r w:rsidR="00FC0155">
      <w:rPr>
        <w:noProof/>
      </w:rPr>
      <w:instrText>1</w:instrText>
    </w:r>
    <w:r>
      <w:fldChar w:fldCharType="end"/>
    </w:r>
    <w:r>
      <w:rPr>
        <w:noProof/>
      </w:rPr>
      <w:instrText>)</w:instrText>
    </w:r>
    <w:r>
      <w:fldChar w:fldCharType="separate"/>
    </w:r>
    <w:r w:rsidR="00FC0155">
      <w:rPr>
        <w:noProof/>
      </w:rPr>
      <w:instrText>0</w:instrText>
    </w:r>
    <w:r>
      <w:fldChar w:fldCharType="end"/>
    </w:r>
    <w:r>
      <w:rPr>
        <w:noProof/>
      </w:rPr>
      <w:instrText>= 1</w:instrText>
    </w:r>
    <w:r>
      <w:fldChar w:fldCharType="begin"/>
    </w:r>
    <w:r>
      <w:rPr>
        <w:noProof/>
      </w:rPr>
      <w:instrText>DOCPROPERTY "CUS_DocIDChunk0"</w:instrText>
    </w:r>
    <w:r>
      <w:fldChar w:fldCharType="separate"/>
    </w:r>
    <w:r w:rsidR="000E0A3A">
      <w:rPr>
        <w:noProof/>
      </w:rPr>
      <w:instrText>11584462</w:instrText>
    </w:r>
    <w:r>
      <w:fldChar w:fldCharType="end"/>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C2721" w14:textId="77777777" w:rsidR="008E7A7E" w:rsidRDefault="008E7A7E" w:rsidP="008963FD">
      <w:pPr>
        <w:spacing w:after="0" w:line="240" w:lineRule="auto"/>
      </w:pPr>
      <w:r>
        <w:separator/>
      </w:r>
    </w:p>
  </w:footnote>
  <w:footnote w:type="continuationSeparator" w:id="0">
    <w:p w14:paraId="43BB414E" w14:textId="77777777" w:rsidR="008E7A7E" w:rsidRDefault="008E7A7E" w:rsidP="00896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79C69" w14:textId="77777777" w:rsidR="000719A5" w:rsidRDefault="000719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11C8D" w14:textId="77777777" w:rsidR="000719A5" w:rsidRDefault="000719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2A29" w14:textId="77777777" w:rsidR="000719A5" w:rsidRDefault="0007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EA1045"/>
    <w:multiLevelType w:val="hybridMultilevel"/>
    <w:tmpl w:val="27DEE7BE"/>
    <w:lvl w:ilvl="0" w:tplc="688416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1A42848"/>
    <w:multiLevelType w:val="hybridMultilevel"/>
    <w:tmpl w:val="CF1606AA"/>
    <w:lvl w:ilvl="0" w:tplc="6E6C8946">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48393599">
    <w:abstractNumId w:val="1"/>
  </w:num>
  <w:num w:numId="2" w16cid:durableId="99567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A7E"/>
    <w:rsid w:val="00022F26"/>
    <w:rsid w:val="00027E27"/>
    <w:rsid w:val="00032A03"/>
    <w:rsid w:val="00032EF8"/>
    <w:rsid w:val="00034572"/>
    <w:rsid w:val="00040A16"/>
    <w:rsid w:val="00042564"/>
    <w:rsid w:val="00066341"/>
    <w:rsid w:val="000719A5"/>
    <w:rsid w:val="00083D1B"/>
    <w:rsid w:val="00094518"/>
    <w:rsid w:val="00097CBC"/>
    <w:rsid w:val="000A0CE3"/>
    <w:rsid w:val="000A76B6"/>
    <w:rsid w:val="000D0F76"/>
    <w:rsid w:val="000D27C2"/>
    <w:rsid w:val="000E0A3A"/>
    <w:rsid w:val="000F57CA"/>
    <w:rsid w:val="00103513"/>
    <w:rsid w:val="0014017E"/>
    <w:rsid w:val="00172E17"/>
    <w:rsid w:val="001A3036"/>
    <w:rsid w:val="001B68E8"/>
    <w:rsid w:val="001C24D6"/>
    <w:rsid w:val="001C7EDA"/>
    <w:rsid w:val="001D1AAE"/>
    <w:rsid w:val="001D3732"/>
    <w:rsid w:val="001D4991"/>
    <w:rsid w:val="001E01A7"/>
    <w:rsid w:val="001E0EBA"/>
    <w:rsid w:val="001F20C9"/>
    <w:rsid w:val="001F752C"/>
    <w:rsid w:val="00213D2F"/>
    <w:rsid w:val="00226317"/>
    <w:rsid w:val="0023562B"/>
    <w:rsid w:val="00253558"/>
    <w:rsid w:val="00274EA7"/>
    <w:rsid w:val="00281E86"/>
    <w:rsid w:val="002A1545"/>
    <w:rsid w:val="002B2DA1"/>
    <w:rsid w:val="002C02BF"/>
    <w:rsid w:val="00301E13"/>
    <w:rsid w:val="00302CEE"/>
    <w:rsid w:val="00303925"/>
    <w:rsid w:val="00304257"/>
    <w:rsid w:val="00322DD4"/>
    <w:rsid w:val="0033750F"/>
    <w:rsid w:val="003429ED"/>
    <w:rsid w:val="00343E9E"/>
    <w:rsid w:val="00350ACA"/>
    <w:rsid w:val="00353A6A"/>
    <w:rsid w:val="00363949"/>
    <w:rsid w:val="00382C48"/>
    <w:rsid w:val="003A02FC"/>
    <w:rsid w:val="003C01AE"/>
    <w:rsid w:val="003E702E"/>
    <w:rsid w:val="003F3866"/>
    <w:rsid w:val="00406AF6"/>
    <w:rsid w:val="00411FCB"/>
    <w:rsid w:val="00432CBF"/>
    <w:rsid w:val="00433761"/>
    <w:rsid w:val="004425F9"/>
    <w:rsid w:val="00460F09"/>
    <w:rsid w:val="004902AE"/>
    <w:rsid w:val="004C5F03"/>
    <w:rsid w:val="004C75A6"/>
    <w:rsid w:val="004D1857"/>
    <w:rsid w:val="004D3A62"/>
    <w:rsid w:val="004E5F3D"/>
    <w:rsid w:val="004E7DD4"/>
    <w:rsid w:val="004F5C8D"/>
    <w:rsid w:val="00510B24"/>
    <w:rsid w:val="005116E8"/>
    <w:rsid w:val="00513A64"/>
    <w:rsid w:val="00516C07"/>
    <w:rsid w:val="005304E6"/>
    <w:rsid w:val="00541622"/>
    <w:rsid w:val="00550C11"/>
    <w:rsid w:val="00574E62"/>
    <w:rsid w:val="005878BC"/>
    <w:rsid w:val="00593421"/>
    <w:rsid w:val="005B1368"/>
    <w:rsid w:val="005B4DF8"/>
    <w:rsid w:val="005B6F98"/>
    <w:rsid w:val="005D438F"/>
    <w:rsid w:val="005E03A7"/>
    <w:rsid w:val="005F39AE"/>
    <w:rsid w:val="0060058C"/>
    <w:rsid w:val="006128FA"/>
    <w:rsid w:val="006A4294"/>
    <w:rsid w:val="006A42A7"/>
    <w:rsid w:val="006C3AC6"/>
    <w:rsid w:val="006D5FBB"/>
    <w:rsid w:val="006E3EC8"/>
    <w:rsid w:val="006F0FA7"/>
    <w:rsid w:val="007032BA"/>
    <w:rsid w:val="0072625C"/>
    <w:rsid w:val="00726892"/>
    <w:rsid w:val="007430E7"/>
    <w:rsid w:val="00756568"/>
    <w:rsid w:val="00757322"/>
    <w:rsid w:val="00761BF1"/>
    <w:rsid w:val="00794060"/>
    <w:rsid w:val="00795C97"/>
    <w:rsid w:val="007B4B0A"/>
    <w:rsid w:val="007C3B1D"/>
    <w:rsid w:val="00803521"/>
    <w:rsid w:val="00813829"/>
    <w:rsid w:val="0082663F"/>
    <w:rsid w:val="00856D3E"/>
    <w:rsid w:val="00871E08"/>
    <w:rsid w:val="00880493"/>
    <w:rsid w:val="008963FD"/>
    <w:rsid w:val="008A056E"/>
    <w:rsid w:val="008B0F9B"/>
    <w:rsid w:val="008B1032"/>
    <w:rsid w:val="008C6913"/>
    <w:rsid w:val="008D2A2D"/>
    <w:rsid w:val="008D38AA"/>
    <w:rsid w:val="008D4DE2"/>
    <w:rsid w:val="008D5113"/>
    <w:rsid w:val="008E7A7E"/>
    <w:rsid w:val="00904F73"/>
    <w:rsid w:val="00910DBF"/>
    <w:rsid w:val="00912879"/>
    <w:rsid w:val="00915B4A"/>
    <w:rsid w:val="00923BC3"/>
    <w:rsid w:val="0096076A"/>
    <w:rsid w:val="009A04C8"/>
    <w:rsid w:val="009A7B45"/>
    <w:rsid w:val="009B6EE1"/>
    <w:rsid w:val="009C07E5"/>
    <w:rsid w:val="009C0938"/>
    <w:rsid w:val="009C50CE"/>
    <w:rsid w:val="009D04EC"/>
    <w:rsid w:val="009D2EF1"/>
    <w:rsid w:val="009E0C41"/>
    <w:rsid w:val="009E3B96"/>
    <w:rsid w:val="00A0112F"/>
    <w:rsid w:val="00A034BD"/>
    <w:rsid w:val="00A05D4B"/>
    <w:rsid w:val="00A124D8"/>
    <w:rsid w:val="00A16D72"/>
    <w:rsid w:val="00A47FED"/>
    <w:rsid w:val="00A57180"/>
    <w:rsid w:val="00A73111"/>
    <w:rsid w:val="00A90FE5"/>
    <w:rsid w:val="00AA39AF"/>
    <w:rsid w:val="00AA60E8"/>
    <w:rsid w:val="00AC35F1"/>
    <w:rsid w:val="00AD6BC8"/>
    <w:rsid w:val="00AE11A2"/>
    <w:rsid w:val="00AE2255"/>
    <w:rsid w:val="00AF14CD"/>
    <w:rsid w:val="00AF1BE2"/>
    <w:rsid w:val="00B1268F"/>
    <w:rsid w:val="00B1748A"/>
    <w:rsid w:val="00B3212C"/>
    <w:rsid w:val="00B34AEE"/>
    <w:rsid w:val="00B446DB"/>
    <w:rsid w:val="00B52DC2"/>
    <w:rsid w:val="00B72DC7"/>
    <w:rsid w:val="00B77AFE"/>
    <w:rsid w:val="00B83C7F"/>
    <w:rsid w:val="00B84F4B"/>
    <w:rsid w:val="00B94210"/>
    <w:rsid w:val="00BA1E5A"/>
    <w:rsid w:val="00BD49FA"/>
    <w:rsid w:val="00BE42C5"/>
    <w:rsid w:val="00BE4FD4"/>
    <w:rsid w:val="00C00865"/>
    <w:rsid w:val="00C03006"/>
    <w:rsid w:val="00C056E0"/>
    <w:rsid w:val="00C139D8"/>
    <w:rsid w:val="00C14695"/>
    <w:rsid w:val="00C15452"/>
    <w:rsid w:val="00C42D86"/>
    <w:rsid w:val="00C43861"/>
    <w:rsid w:val="00C52273"/>
    <w:rsid w:val="00C56CF8"/>
    <w:rsid w:val="00C631A5"/>
    <w:rsid w:val="00C82B0F"/>
    <w:rsid w:val="00C83F9A"/>
    <w:rsid w:val="00C866FD"/>
    <w:rsid w:val="00CB7DE7"/>
    <w:rsid w:val="00CC731B"/>
    <w:rsid w:val="00CE371A"/>
    <w:rsid w:val="00CE7B93"/>
    <w:rsid w:val="00CF3A93"/>
    <w:rsid w:val="00CF618A"/>
    <w:rsid w:val="00D0196B"/>
    <w:rsid w:val="00D04AC8"/>
    <w:rsid w:val="00D25573"/>
    <w:rsid w:val="00D26498"/>
    <w:rsid w:val="00D443FF"/>
    <w:rsid w:val="00D511F8"/>
    <w:rsid w:val="00D735D6"/>
    <w:rsid w:val="00D90621"/>
    <w:rsid w:val="00DB39F7"/>
    <w:rsid w:val="00DD179D"/>
    <w:rsid w:val="00DD5B9D"/>
    <w:rsid w:val="00E176FA"/>
    <w:rsid w:val="00E21B29"/>
    <w:rsid w:val="00E263BA"/>
    <w:rsid w:val="00E324D0"/>
    <w:rsid w:val="00E32625"/>
    <w:rsid w:val="00E36A51"/>
    <w:rsid w:val="00E53F60"/>
    <w:rsid w:val="00E75BE1"/>
    <w:rsid w:val="00E93AEF"/>
    <w:rsid w:val="00EB0B05"/>
    <w:rsid w:val="00ED69CE"/>
    <w:rsid w:val="00F05EA2"/>
    <w:rsid w:val="00F145CE"/>
    <w:rsid w:val="00F2395E"/>
    <w:rsid w:val="00F2633E"/>
    <w:rsid w:val="00F34CC0"/>
    <w:rsid w:val="00F37D46"/>
    <w:rsid w:val="00F45A38"/>
    <w:rsid w:val="00F65A67"/>
    <w:rsid w:val="00F80823"/>
    <w:rsid w:val="00F84EA5"/>
    <w:rsid w:val="00F90995"/>
    <w:rsid w:val="00F93485"/>
    <w:rsid w:val="00FA104D"/>
    <w:rsid w:val="00FB60CC"/>
    <w:rsid w:val="00FC0155"/>
    <w:rsid w:val="00FC5093"/>
    <w:rsid w:val="00FF1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BF1F7D7"/>
  <w15:docId w15:val="{4ECD61DE-159E-4AC0-84C9-78732628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lename">
    <w:name w:val="Filename"/>
    <w:basedOn w:val="DefaultParagraphFont"/>
    <w:rsid w:val="00E324D0"/>
    <w:rPr>
      <w:rFonts w:ascii="Times New Roman" w:hAnsi="Times New Roman" w:cs="Times New Roman"/>
      <w:sz w:val="16"/>
    </w:rPr>
  </w:style>
  <w:style w:type="paragraph" w:styleId="BalloonText">
    <w:name w:val="Balloon Text"/>
    <w:basedOn w:val="Normal"/>
    <w:link w:val="BalloonTextChar"/>
    <w:uiPriority w:val="99"/>
    <w:semiHidden/>
    <w:unhideWhenUsed/>
    <w:rsid w:val="00E324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4D0"/>
    <w:rPr>
      <w:rFonts w:ascii="Tahoma" w:hAnsi="Tahoma" w:cs="Tahoma"/>
      <w:sz w:val="16"/>
      <w:szCs w:val="16"/>
    </w:rPr>
  </w:style>
  <w:style w:type="character" w:styleId="Hyperlink">
    <w:name w:val="Hyperlink"/>
    <w:basedOn w:val="DefaultParagraphFont"/>
    <w:uiPriority w:val="99"/>
    <w:unhideWhenUsed/>
    <w:rsid w:val="008E7A7E"/>
    <w:rPr>
      <w:color w:val="0000FF" w:themeColor="hyperlink"/>
      <w:u w:val="single"/>
    </w:rPr>
  </w:style>
  <w:style w:type="paragraph" w:styleId="FootnoteText">
    <w:name w:val="footnote text"/>
    <w:basedOn w:val="Normal"/>
    <w:link w:val="FootnoteTextChar"/>
    <w:uiPriority w:val="99"/>
    <w:semiHidden/>
    <w:unhideWhenUsed/>
    <w:rsid w:val="009C09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938"/>
    <w:rPr>
      <w:sz w:val="20"/>
      <w:szCs w:val="20"/>
    </w:rPr>
  </w:style>
  <w:style w:type="character" w:styleId="FootnoteReference">
    <w:name w:val="footnote reference"/>
    <w:basedOn w:val="DefaultParagraphFont"/>
    <w:uiPriority w:val="99"/>
    <w:semiHidden/>
    <w:unhideWhenUsed/>
    <w:rsid w:val="009C0938"/>
    <w:rPr>
      <w:vertAlign w:val="superscript"/>
    </w:rPr>
  </w:style>
  <w:style w:type="paragraph" w:styleId="ListParagraph">
    <w:name w:val="List Paragraph"/>
    <w:basedOn w:val="Normal"/>
    <w:uiPriority w:val="34"/>
    <w:qFormat/>
    <w:rsid w:val="0082663F"/>
    <w:pPr>
      <w:ind w:left="720"/>
      <w:contextualSpacing/>
    </w:pPr>
  </w:style>
  <w:style w:type="paragraph" w:styleId="Header">
    <w:name w:val="header"/>
    <w:basedOn w:val="Normal"/>
    <w:link w:val="HeaderChar"/>
    <w:uiPriority w:val="99"/>
    <w:unhideWhenUsed/>
    <w:rsid w:val="00071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9A5"/>
  </w:style>
  <w:style w:type="paragraph" w:styleId="Footer">
    <w:name w:val="footer"/>
    <w:basedOn w:val="Normal"/>
    <w:link w:val="FooterChar"/>
    <w:uiPriority w:val="99"/>
    <w:unhideWhenUsed/>
    <w:rsid w:val="00071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9A5"/>
  </w:style>
  <w:style w:type="paragraph" w:customStyle="1" w:styleId="DocID">
    <w:name w:val="DocID"/>
    <w:basedOn w:val="Footer"/>
    <w:next w:val="Footer"/>
    <w:link w:val="DocIDChar"/>
    <w:rsid w:val="000719A5"/>
    <w:pPr>
      <w:tabs>
        <w:tab w:val="clear" w:pos="4680"/>
        <w:tab w:val="clear" w:pos="9360"/>
      </w:tabs>
    </w:pPr>
    <w:rPr>
      <w:rFonts w:ascii="Times New Roman" w:hAnsi="Times New Roman" w:cs="Times New Roman"/>
      <w:sz w:val="16"/>
      <w:szCs w:val="24"/>
    </w:rPr>
  </w:style>
  <w:style w:type="character" w:customStyle="1" w:styleId="DocIDChar">
    <w:name w:val="DocID Char"/>
    <w:basedOn w:val="DefaultParagraphFont"/>
    <w:link w:val="DocID"/>
    <w:rsid w:val="000719A5"/>
    <w:rPr>
      <w:rFonts w:ascii="Times New Roman" w:hAnsi="Times New Roman"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4347-238C-474A-A279-93C2C9AB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3599</Words>
  <Characters>18538</Characters>
  <Application>Microsoft Office Word</Application>
  <DocSecurity>0</DocSecurity>
  <Lines>303</Lines>
  <Paragraphs>87</Paragraphs>
  <ScaleCrop>false</ScaleCrop>
  <HeadingPairs>
    <vt:vector size="2" baseType="variant">
      <vt:variant>
        <vt:lpstr>Title</vt:lpstr>
      </vt:variant>
      <vt:variant>
        <vt:i4>1</vt:i4>
      </vt:variant>
    </vt:vector>
  </HeadingPairs>
  <TitlesOfParts>
    <vt:vector size="1" baseType="lpstr">
      <vt:lpstr/>
    </vt:vector>
  </TitlesOfParts>
  <Company>McLane, Graf, Raulerson &amp; Middleton</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Ralph</dc:creator>
  <cp:lastModifiedBy>Oliveri, Jessica</cp:lastModifiedBy>
  <cp:revision>2</cp:revision>
  <cp:lastPrinted>2016-12-19T20:34:00Z</cp:lastPrinted>
  <dcterms:created xsi:type="dcterms:W3CDTF">2024-07-02T14:19:00Z</dcterms:created>
  <dcterms:modified xsi:type="dcterms:W3CDTF">2024-07-02T14:19:00Z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11584462</vt:lpwstr>
  </property>
  <property fmtid="{D5CDD505-2E9C-101B-9397-08002B2CF9AE}" pid="3" name="CUS_DocIDChunk0">
    <vt:lpwstr>11584462</vt:lpwstr>
  </property>
  <property fmtid="{D5CDD505-2E9C-101B-9397-08002B2CF9AE}" pid="4" name="CUS_DocIDActiveBits">
    <vt:lpwstr>32768</vt:lpwstr>
  </property>
  <property fmtid="{D5CDD505-2E9C-101B-9397-08002B2CF9AE}" pid="5" name="CUS_DocIDLocation">
    <vt:lpwstr>LAST_PAGE_ONLY</vt:lpwstr>
  </property>
  <property fmtid="{D5CDD505-2E9C-101B-9397-08002B2CF9AE}" pid="6" name="CUS_DocIDEndAdjustedPageNumber">
    <vt:lpwstr>11</vt:lpwstr>
  </property>
  <property fmtid="{D5CDD505-2E9C-101B-9397-08002B2CF9AE}" pid="7" name="CUS_DocIDEndSectionNumber">
    <vt:lpwstr>1</vt:lpwstr>
  </property>
</Properties>
</file>